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1.7 | Sprint 18C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ageBreakBefore/>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ageBreakBefore/>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explicitly review secondary destinations, resolve bounded same-origin external references, review counts, and select operations.</w:t>
      </w:r>
    </w:p>
    <w:p>
      <w:pPr>
        <w:pStyle w:val="ListBullet"/>
        <w:spacing w:after="80"/>
        <w:ind w:left="540" w:hanging="271"/>
      </w:pPr>
      <w:r>
        <w:t>Run and cancel individual requests, inspect formatted responses and final origin, and export redacted diagnostics with a request inventory.</w:t>
      </w:r>
    </w:p>
    <w:p>
      <w:pPr>
        <w:pStyle w:val="ListBullet"/>
        <w:spacing w:after="80"/>
        <w:ind w:left="540" w:hanging="271"/>
      </w:pPr>
      <w:r>
        <w:t>Compose visual flows with dependency edges, failure branches, protected destination variables,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ageBreakBefore/>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ageBreakBefore/>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ageBreakBefore/>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only after current-session approval; Rust reads the approved path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Native HTTP follows only same-origin redirects, stops after 10 requests, rejects cross-origin replay, and returns final URL identity to typed callers.</w:t>
      </w:r>
    </w:p>
    <w:p>
      <w:pPr>
        <w:pStyle w:val="ListBullet"/>
        <w:spacing w:after="80"/>
        <w:ind w:left="540" w:hanging="271"/>
      </w:pPr>
      <w:r>
        <w:t>Configured proxies apply validated domain, IP, CIDR, or wildcard bypass entries; malformed or port-specific entries fail explicitly.</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Saved `.json` and `.txt` responses are validated self-describing Relay envelopes; arbitrary raw text and embedded-path mismatches fail before content enters the response viewer.</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ageBreakBefore/>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 Multipart approval is ephemeral application state and never part of `.restproj`.</w:t>
      </w:r>
    </w:p>
    <w:p>
      <w:pPr>
        <w:pStyle w:val="ListBullet"/>
        <w:spacing w:after="80"/>
        <w:ind w:left="540" w:hanging="271"/>
      </w:pPr>
      <w:r>
        <w:t>Full nested schema validation occurs before project data enters the application.</w:t>
      </w:r>
    </w:p>
    <w:p>
      <w:pPr>
        <w:pStyle w:val="ListBullet"/>
        <w:spacing w:after="80"/>
        <w:ind w:left="540" w:hanging="271"/>
      </w:pPr>
      <w:r>
        <w:t>Missing settings in older schema-v1 files are migrated to typed current defaults; explicit invalid values identify their exact path and fail.</w:t>
      </w:r>
    </w:p>
    <w:p>
      <w:pPr>
        <w:pStyle w:val="ListBullet"/>
        <w:spacing w:after="80"/>
        <w:ind w:left="540" w:hanging="271"/>
      </w:pPr>
      <w:r>
        <w:t>Persistence and export canonically redact sensitive values and clear local file paths.</w:t>
      </w:r>
    </w:p>
    <w:p>
      <w:pPr>
        <w:pStyle w:val="ListBullet"/>
        <w:spacing w:after="80"/>
        <w:ind w:left="540" w:hanging="271"/>
      </w:pPr>
      <w:r>
        <w:t>Credential-shaped captured variables remain secret even when a mapping was mislabeled.</w:t>
      </w:r>
    </w:p>
    <w:p>
      <w:pPr>
        <w:pStyle w:val="ListBullet"/>
        <w:spacing w:after="80"/>
        <w:ind w:left="540" w:hanging="271"/>
      </w:pPr>
      <w:r>
        <w:t>Unknown or invalid schema shapes identify the exact field and produce recovery guidance.</w:t>
      </w:r>
    </w:p>
    <w:p>
      <w:pPr>
        <w:pStyle w:val="ListBullet"/>
        <w:spacing w:after="80"/>
        <w:ind w:left="540" w:hanging="271"/>
      </w:pPr>
      <w:r>
        <w:t>Concurrent saves and partial native writes are guarded.</w:t>
      </w:r>
    </w:p>
    <w:p>
      <w:pPr>
        <w:pStyle w:val="Heading1"/>
        <w:pageBreakBefore/>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Mappings use explicit JSONPath and named variables; `baseUrl` is reserved and cannot be written from a response.</w:t>
      </w:r>
    </w:p>
    <w:p>
      <w:pPr>
        <w:pStyle w:val="ListBullet"/>
        <w:spacing w:after="80"/>
        <w:ind w:left="540" w:hanging="271"/>
      </w:pPr>
      <w:r>
        <w:t>Successful request metadata retains final URL identity for policy enforcement while the visible response summary exposes only final origin.</w:t>
      </w:r>
    </w:p>
    <w:p>
      <w:pPr>
        <w:pStyle w:val="Heading1"/>
        <w:pageBreakBefore/>
      </w:pPr>
      <w:r>
        <w:t>OpenAPI Import</w:t>
      </w:r>
    </w:p>
    <w:p>
      <w:r>
        <w:t>The importer treats supplied URLs, documents, and references as untrusted. It discovers definition URLs from Swagger UI pages without retrieving them, supports Swagger 2.0 and OpenAPI 3.x documents, resolves bounded same-origin external references, previews review metrics and operations, and converts only explicitly selected services.</w:t>
      </w:r>
    </w:p>
    <w:p>
      <w:pPr>
        <w:pStyle w:val="ListBullet"/>
        <w:spacing w:after="80"/>
        <w:ind w:left="540" w:hanging="271"/>
      </w:pPr>
      <w:r>
        <w:t>The project is unchanged until confirmation.</w:t>
      </w:r>
    </w:p>
    <w:p>
      <w:pPr>
        <w:pStyle w:val="ListBullet"/>
        <w:spacing w:after="80"/>
        <w:ind w:left="540" w:hanging="271"/>
      </w:pPr>
      <w:r>
        <w:t>Swagger UI page inspection presents the exact resolved secondary destination; only Load retrieves it and Cancel sends no request.</w:t>
      </w:r>
    </w:p>
    <w:p>
      <w:pPr>
        <w:pStyle w:val="ListBullet"/>
        <w:spacing w:after="80"/>
        <w:ind w:left="540" w:hanging="271"/>
      </w:pPr>
      <w:r>
        <w:t>Every root and external-document fetch revalidates actual final origin before parsing.</w:t>
      </w:r>
    </w:p>
    <w:p>
      <w:pPr>
        <w:pStyle w:val="ListBullet"/>
        <w:spacing w:after="80"/>
        <w:ind w:left="540" w:hanging="271"/>
      </w:pPr>
      <w:r>
        <w:t>Credential userinfo and literal sensitive query values are rejected before display or retrieval; safe `{{variable}}` placeholders remain supported.</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ageBreakBefore/>
      </w:pPr>
      <w:r>
        <w:t>Persistence and Recovery</w:t>
      </w:r>
    </w:p>
    <w:p>
      <w:r>
        <w:t>Browser-mode persistence supports automated UI workflows. Native persistence adds platform file dialogs, atomic replacement, recovery backups, native recent-project paths, and packaged behavior. Saved responses are separate canonically redacted, self-describing artifacts referenced by validated metadata in the project; legacy raw `.txt` files require re-sending and saving a new artifact.</w:t>
      </w:r>
    </w:p>
    <w:p>
      <w:pPr>
        <w:pStyle w:val="Heading1"/>
        <w:pageBreakBefore/>
      </w:pPr>
      <w:r>
        <w:t>Security Architecture</w:t>
      </w:r>
    </w:p>
    <w:p>
      <w:pPr>
        <w:pStyle w:val="ListBullet"/>
        <w:spacing w:after="80"/>
        <w:ind w:left="540" w:hanging="271"/>
      </w:pPr>
      <w:r>
        <w:t>Restrictive Tauri CSP and reviewed capability set.</w:t>
      </w:r>
    </w:p>
    <w:p>
      <w:pPr>
        <w:pStyle w:val="ListBullet"/>
        <w:spacing w:after="80"/>
        <w:ind w:left="540" w:hanging="271"/>
      </w:pPr>
      <w:r>
        <w:t>Canonical redaction for URLs, values, console, diagnostics, persistence, saved artifacts, comparison, normalized errors, export, and snapshots.</w:t>
      </w:r>
    </w:p>
    <w:p>
      <w:pPr>
        <w:pStyle w:val="ListBullet"/>
        <w:spacing w:after="80"/>
        <w:ind w:left="540" w:hanging="271"/>
      </w:pPr>
      <w:r>
        <w:t>Current-session multipart approval is bound to service, field, exact path, and destination origin; project save clears the path.</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ageBreakBefore/>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ageBreakBefore/>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ageBreakBefore/>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ageBreakBefore/>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ageBreakBefore/>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