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1.8 | Sprint 18E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through Sprint 18E.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  <w:pageBreakBefore w:val="0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  <w:pageBreakBefore w:val="0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  <w:pageBreakBefore w:val="0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  <w:pageBreakBefore w:val="0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  <w:pageBreakBefore w:val="0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  <w:pageBreakBefore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Bullet"/>
        <w:spacing w:after="80"/>
        <w:ind w:left="540" w:hanging="271"/>
      </w:pPr>
      <w:r>
        <w:t>Reproduce with the smallest request and a controlled local endpoint.</w:t>
      </w:r>
    </w:p>
    <w:p>
      <w:pPr>
        <w:pStyle w:val="ListBullet"/>
        <w:spacing w:after="80"/>
        <w:ind w:left="540" w:hanging="271"/>
      </w:pPr>
      <w:r>
        <w:t>Check resolved URL, headers, query/path parameters, auth mode, timeout, retry policy, and active environment without printing secret values.</w:t>
      </w:r>
    </w:p>
    <w:p>
      <w:pPr>
        <w:pStyle w:val="ListBullet"/>
        <w:spacing w:after="80"/>
        <w:ind w:left="540" w:hanging="271"/>
      </w:pPr>
      <w:r>
        <w:t>For multipart files, confirm the user approved the exact service, field, local path, and destination origin in the current session; then confirm Tauri sees a readable regular file no larger than 25 MiB with a valid media type and no manual Content-Type header.</w:t>
      </w:r>
    </w:p>
    <w:p>
      <w:pPr>
        <w:pStyle w:val="ListBullet"/>
        <w:spacing w:after="80"/>
        <w:ind w:left="540" w:hanging="271"/>
      </w:pPr>
      <w:r>
        <w:t>If a reopened project has an empty file path, reselect or re-enter the fixture and approve it; saved projects deliberately do not retain local-file authority.</w:t>
      </w:r>
    </w:p>
    <w:p>
      <w:pPr>
        <w:pStyle w:val="ListBullet"/>
        <w:spacing w:after="80"/>
        <w:ind w:left="540" w:hanging="271"/>
      </w:pPr>
      <w:r>
        <w:t>Classify the failure as validation, authorization, transport, HTTP response, parsing, mapping, cancellation, or persistence.</w:t>
      </w:r>
    </w:p>
    <w:p>
      <w:pPr>
        <w:pStyle w:val="ListBullet"/>
        <w:spacing w:after="80"/>
        <w:ind w:left="540" w:hanging="271"/>
      </w:pPr>
      <w:r>
        <w:t>Inspect the visible console and exported diagnostics for a matching typed error and redacted values.</w:t>
      </w:r>
    </w:p>
    <w:p>
      <w:pPr>
        <w:pStyle w:val="ListBullet"/>
        <w:spacing w:after="80"/>
        <w:ind w:left="540" w:hanging="271"/>
      </w:pPr>
      <w:r>
        <w:t>For a flow, inspect the first non-success node and verify downstream blocked/skipped behavior.</w:t>
      </w:r>
    </w:p>
    <w:p>
      <w:pPr>
        <w:pStyle w:val="Heading1"/>
        <w:pageBreakBefore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  <w:pageBreakBefore/>
      </w:pPr>
      <w:r>
        <w:t>OpenAPI Import Failures</w:t>
      </w:r>
    </w:p>
    <w:p>
      <w:r>
        <w:t>The importer accepts a Swagger UI page or direct Swagger/OpenAPI document, resolves bounded same-origin references, previews operations and review counts,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and external-reference failures.</w:t>
      </w:r>
    </w:p>
    <w:p>
      <w:pPr>
        <w:pStyle w:val="ListBullet"/>
        <w:spacing w:after="80"/>
        <w:ind w:left="540" w:hanging="271"/>
      </w:pPr>
      <w:r>
        <w:t>Verify Swagger discovery stops after the page fetch, displays the resolved destination, and retrieves it only after the explicit Load action; Cancel must send no second request.</w:t>
      </w:r>
    </w:p>
    <w:p>
      <w:pPr>
        <w:pStyle w:val="ListBullet"/>
        <w:spacing w:after="80"/>
        <w:ind w:left="540" w:hanging="271"/>
      </w:pPr>
      <w:r>
        <w:t>Verify every direct and referenced document against its actual final origin, not only its requested URL.</w:t>
      </w:r>
    </w:p>
    <w:p>
      <w:pPr>
        <w:pStyle w:val="ListBullet"/>
        <w:spacing w:after="80"/>
        <w:ind w:left="540" w:hanging="271"/>
      </w:pPr>
      <w:r>
        <w:t>Expect explicit failures for credential-bearing URLs, cross-origin redirects/references, circular, malformed, unreachable, excessively deep, or excessive-document reference graphs.</w:t>
      </w:r>
    </w:p>
    <w:p>
      <w:pPr>
        <w:pStyle w:val="ListBullet"/>
        <w:spacing w:after="80"/>
        <w:ind w:left="540" w:hanging="271"/>
      </w:pPr>
      <w:r>
        <w:t>Browser development mode deliberately blocks redirects before loading a document; enter the final definition URL explicitly or verify validated same-origin redirects in desktop mode.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PATCH, HEAD, OPTIONS, JSON, URL-encoded forms, and mixed text/file multipart forms map correctly.</w:t>
      </w:r>
    </w:p>
    <w:p>
      <w:pPr>
        <w:pStyle w:val="ListBullet"/>
        <w:spacing w:after="80"/>
        <w:ind w:left="540" w:hanging="271"/>
      </w:pPr>
      <w:r>
        <w:t>Confirm binary properties become empty file fields and examples do not import file paths,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Add Selected, Add and Save Selected, save cancellation, persistence/reopen, and duplicate ID generation.</w:t>
      </w:r>
    </w:p>
    <w:p>
      <w:pPr>
        <w:pStyle w:val="Heading1"/>
        <w:pageBreakBefore/>
      </w:pPr>
      <w:r>
        <w:t>Persistence, Recovery, and Concurrent Saves</w:t>
      </w:r>
    </w:p>
    <w:p>
      <w:r>
        <w:t>Project persistence deeply validates schema-v1 state, canonically redacts secret-bearing values, removes multipart file authority,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nested schema validation to open malformed services, environments, flows, responses, imports, or settings.</w:t>
      </w:r>
    </w:p>
    <w:p>
      <w:pPr>
        <w:pStyle w:val="ListBullet"/>
        <w:spacing w:after="80"/>
        <w:ind w:left="540" w:hanging="271"/>
      </w:pPr>
      <w:r>
        <w:t>Older schema-v1 files may omit settings introduced later; verify those missing fields receive current typed defaults while explicitly malformed values still fail.</w:t>
      </w:r>
    </w:p>
    <w:p>
      <w:pPr>
        <w:pStyle w:val="ListBullet"/>
        <w:spacing w:after="80"/>
        <w:ind w:left="540" w:hanging="271"/>
      </w:pPr>
      <w:r>
        <w:t>Project save/open/backup restore are bounded at 4 MiB before parse; verify the boundary and actionable oversized-file recovery path.</w:t>
      </w:r>
    </w:p>
    <w:p>
      <w:pPr>
        <w:pStyle w:val="ListBullet"/>
        <w:spacing w:after="80"/>
        <w:ind w:left="540" w:hanging="271"/>
      </w:pPr>
      <w:r>
        <w:t>Preserve the exact failing field path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Confirm query/path/form canaries, URL userinfo, sensitive query values, and credential-shaped flow captures cannot survive save/reload.</w:t>
      </w:r>
    </w:p>
    <w:p>
      <w:pPr>
        <w:pStyle w:val="ListBullet"/>
        <w:spacing w:after="80"/>
        <w:ind w:left="540" w:hanging="271"/>
      </w:pPr>
      <w:r>
        <w:t>Flow runtime captures are available only inside the active run and are not written back to persistable environments.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  <w:pageBreakBefore w:val="0"/>
      </w:pPr>
      <w:r>
        <w:t>Diagnostics and Secret Safety</w:t>
      </w:r>
    </w:p>
    <w:p>
      <w:r>
        <w:t>Treat logs, screenshots, saved responses, project exports, test fixtures, normalized errors,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canonical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API-key spelling variants, cookies, client secrets, URL userinfo, sensitive query values, custom auth headers, and secret variables.</w:t>
      </w:r>
    </w:p>
    <w:p>
      <w:pPr>
        <w:pStyle w:val="ListBullet"/>
        <w:spacing w:after="80"/>
        <w:ind w:left="540" w:hanging="271"/>
      </w:pPr>
      <w:r>
        <w:t>Reapply canonical redaction when reopening or comparing an artifact; never trust a persisted redacted flag by itself.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  <w:pageBreakBefore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validation reports a missing live target;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  <w:pageBreakBefore w:val="0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  <w:pageBreakBefore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Explain the class, component, sequence, and deployment diagrams to another developer.</w:t>
      </w:r>
    </w:p>
    <w:p>
      <w:pPr>
        <w:pStyle w:val="Heading1"/>
        <w:pageBreakBefore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