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Sprint 18E Delivery Hardening</w:t>
      </w:r>
    </w:p>
    <w:p>
      <w:pPr>
        <w:pStyle w:val="ListBullet"/>
        <w:spacing w:after="80"/>
        <w:ind w:left="540" w:hanging="271"/>
      </w:pPr>
      <w:r>
        <w:t>Code Generation Boundary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ageBreakBefore w:val="0"/>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ageBreakBefore w:val="0"/>
      </w:pPr>
      <w:r>
        <w:t>Secret Classification and Redaction</w:t>
      </w:r>
    </w:p>
    <w:p>
      <w:pPr>
        <w:pStyle w:val="ListBullet"/>
        <w:spacing w:after="80"/>
        <w:ind w:left="540" w:hanging="271"/>
      </w:pPr>
      <w:r>
        <w:t>Bearer and OAuth tokens, passwords, API keys across case/underscore/hyphen variants, cookies, client secrets, custom auth headers, URL userinfo, sensitive query values, credential-shaped response captures, and secret-marked variables are sensitive.</w:t>
      </w:r>
    </w:p>
    <w:p>
      <w:pPr>
        <w:pStyle w:val="ListBullet"/>
        <w:spacing w:after="80"/>
        <w:ind w:left="540" w:hanging="271"/>
      </w:pPr>
      <w:r>
        <w:t>Apply canonical redaction to console events, diagnostics, project export/persistence, saved responses, comparison, screenshots/fixtures, normalized errors, and snapshots before output is marked redacted.</w:t>
      </w:r>
    </w:p>
    <w:p>
      <w:pPr>
        <w:pStyle w:val="ListBullet"/>
        <w:spacing w:after="80"/>
        <w:ind w:left="540" w:hanging="271"/>
      </w:pPr>
      <w:r>
        <w:t>Preserve useful names, origins, non-sensitive query values, and structure while replacing the credential value consistently.</w:t>
      </w:r>
    </w:p>
    <w:p>
      <w:pPr>
        <w:pStyle w:val="ListBullet"/>
        <w:spacing w:after="80"/>
        <w:ind w:left="540" w:hanging="271"/>
      </w:pPr>
      <w:r>
        <w:t>Never trust a persisted redacted flag without reapplying canonical redaction.</w:t>
      </w:r>
    </w:p>
    <w:p>
      <w:pPr>
        <w:pStyle w:val="ListBullet"/>
        <w:spacing w:after="80"/>
        <w:ind w:left="540" w:hanging="271"/>
      </w:pPr>
      <w:r>
        <w:t>Never log a secret before redaction and never use real credentials in tests.</w:t>
      </w:r>
    </w:p>
    <w:p>
      <w:pPr>
        <w:pStyle w:val="Heading1"/>
        <w:pageBreakBefore w:val="0"/>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backups, and full nested schema validation for project persistence.</w:t>
      </w:r>
    </w:p>
    <w:p>
      <w:pPr>
        <w:pStyle w:val="ListBullet"/>
        <w:spacing w:after="80"/>
        <w:ind w:left="540" w:hanging="271"/>
      </w:pPr>
      <w:r>
        <w:t>Project save clears multipart paths; current-session approval binds service, field, path, and destination origin before native file access.</w:t>
      </w:r>
    </w:p>
    <w:p>
      <w:pPr>
        <w:pStyle w:val="ListBullet"/>
        <w:spacing w:after="80"/>
        <w:ind w:left="540" w:hanging="271"/>
      </w:pPr>
      <w:r>
        <w:t>Saved response commands require validated self-describing envelopes and matching embedded/requested paths; arbitrary raw `.txt` files never receive trusted caller metadata.</w:t>
      </w:r>
    </w:p>
    <w:p>
      <w:pPr>
        <w:pStyle w:val="ListBullet"/>
        <w:spacing w:after="80"/>
        <w:ind w:left="540" w:hanging="271"/>
      </w:pPr>
      <w:r>
        <w:t>Native HTTP follows only same-origin redirects, rejects cross-origin replay before headers can move, returns final identity, and stops redirect loops after 10 requests.</w:t>
      </w:r>
    </w:p>
    <w:p>
      <w:pPr>
        <w:pStyle w:val="ListBullet"/>
        <w:spacing w:after="80"/>
        <w:ind w:left="540" w:hanging="271"/>
      </w:pPr>
      <w:r>
        <w:t>Formatted JSON response links copy authorization only to an exact same-origin GET request; cross-origin, credential-bearing, duplicate-query, and non-HTTP destinations fail before project mutation.</w:t>
      </w:r>
    </w:p>
    <w:p>
      <w:pPr>
        <w:pStyle w:val="ListBullet"/>
        <w:spacing w:after="80"/>
        <w:ind w:left="540" w:hanging="271"/>
      </w:pPr>
      <w:r>
        <w:t>Browser development mode uses manual Fetch redirects and rejects every redirect before replay; developers enter the final URL explicitly or use desktop mode for validated same-origin redirects.</w:t>
      </w:r>
    </w:p>
    <w:p>
      <w:pPr>
        <w:pStyle w:val="ListBullet"/>
        <w:spacing w:after="80"/>
        <w:ind w:left="540" w:hanging="271"/>
      </w:pPr>
      <w:r>
        <w:t>Configured proxies apply a validated bypass list instead of silently ignoring it.</w:t>
      </w:r>
    </w:p>
    <w:p>
      <w:pPr>
        <w:pStyle w:val="ListBullet"/>
        <w:spacing w:after="80"/>
        <w:ind w:left="540" w:hanging="271"/>
      </w:pPr>
      <w:r>
        <w:t>Re-review when adding commands, plugins, filesystem scope, remote content, updater behavior, or shell execution.</w:t>
      </w:r>
    </w:p>
    <w:p>
      <w:pPr>
        <w:pStyle w:val="Heading1"/>
        <w:pageBreakBefore w:val="0"/>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ageBreakBefore w:val="0"/>
      </w:pPr>
      <w:r>
        <w:t>CI and Release Policy</w:t>
      </w:r>
    </w:p>
    <w:p>
      <w:r>
        <w:t>PR and main Release Gates run deterministic quality and security validation without materializing protected live REST configuration or contacting an external fixture.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 and is scoped to the materialization/preflight step; checkout, setup, install, and packaging steps do not inherit the secret.</w:t>
      </w:r>
    </w:p>
    <w:p>
      <w:pPr>
        <w:pStyle w:val="ListBullet"/>
        <w:spacing w:after="80"/>
        <w:ind w:left="540" w:hanging="271"/>
      </w:pPr>
      <w:r>
        <w:t>Do not print, artifact, or cache the decoded file.</w:t>
      </w:r>
    </w:p>
    <w:p>
      <w:pPr>
        <w:pStyle w:val="ListBullet"/>
        <w:spacing w:after="80"/>
        <w:ind w:left="540" w:hanging="271"/>
      </w:pPr>
      <w:r>
        <w:t>First-party checkout and artifact actions are pinned to immutable revisions; third-party tool actions remain explicit channel-pinned and are reviewed before upgrades.</w:t>
      </w:r>
    </w:p>
    <w:p>
      <w:pPr>
        <w:pStyle w:val="ListBullet"/>
        <w:spacing w:after="80"/>
        <w:ind w:left="540" w:hanging="271"/>
      </w:pPr>
      <w:r>
        <w:t>The repository scanner detects modern token formats and credentialed registry URLs in lockfiles, scans generated bundle directories, and reports unsupported binary/oversized content as explicit limitations.</w:t>
      </w:r>
    </w:p>
    <w:p>
      <w:pPr>
        <w:pStyle w:val="ListBullet"/>
        <w:spacing w:after="80"/>
        <w:ind w:left="540" w:hanging="271"/>
      </w:pPr>
      <w:r>
        <w:t>The documentation validator parses every XML and relationship part in Word/VSDX archives and rejects external relationships or secret-like canaries.</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ageBreakBefore/>
      </w:pPr>
      <w:r>
        <w:t>Sprint 18E Delivery Hardening</w:t>
      </w:r>
    </w:p>
    <w:p>
      <w:r>
        <w:t>Sprint 18E is complete. Delivery evidence now distinguishes a clean scan from unsupported binary content, keeps protected live-test configuration out of setup/install scope, pins first-party artifact actions, and validates every OOXML text and relationship part before release readiness is decided.</w:t>
      </w:r>
    </w:p>
    <w:p>
      <w:pPr>
        <w:pStyle w:val="ListBullet"/>
        <w:spacing w:after="80"/>
        <w:ind w:left="540" w:hanging="271"/>
      </w:pPr>
      <w:r>
        <w:t>No unresolved critical or high finding remains in the Sprint 18A remediation register.</w:t>
      </w:r>
    </w:p>
    <w:p>
      <w:pPr>
        <w:pStyle w:val="ListBullet"/>
        <w:spacing w:after="80"/>
        <w:ind w:left="540" w:hanging="271"/>
      </w:pPr>
      <w:r>
        <w:t>Lower-severity scanner limitations are explicit, bounded to binary/oversized artifacts, and retained as release evidence rather than suppressed.</w:t>
      </w:r>
    </w:p>
    <w:p>
      <w:pPr>
        <w:pStyle w:val="ListBullet"/>
        <w:spacing w:after="80"/>
        <w:ind w:left="540" w:hanging="271"/>
      </w:pPr>
      <w:r>
        <w:t>The final readiness decision is based on type, lint, coverage, component/browser, Rust, dependency/license, documentation-artifact, secret, live-REST, and packaged-platform evidence when configured.</w:t>
      </w:r>
    </w:p>
    <w:p>
      <w:pPr>
        <w:pStyle w:val="Heading1"/>
        <w:pageBreakBefore/>
      </w:pPr>
      <w:r>
        <w:t>Code Generation Boundary</w:t>
      </w:r>
    </w:p>
    <w:p>
      <w:r>
        <w:t>Sprint 19 code generation remains entirely inside the React/TypeScript application boundary. It validates and normalizes the typed request model but never invokes browser Fetch, a Tauri HTTP command, native file IO, persistence, or response-history mutation.</w:t>
      </w:r>
    </w:p>
    <w:p>
      <w:pPr>
        <w:pStyle w:val="ListBullet"/>
        <w:spacing w:after="80"/>
        <w:ind w:left="540" w:hanging="271"/>
      </w:pPr>
      <w:r>
        <w:t>Credential-bearing environment variables, auth profiles, headers, query values, URL userinfo, JSON/form keys, and known literal canaries become placeholders or redaction masks before rendering.</w:t>
      </w:r>
    </w:p>
    <w:p>
      <w:pPr>
        <w:pStyle w:val="ListBullet"/>
        <w:spacing w:after="80"/>
        <w:ind w:left="540" w:hanging="271"/>
      </w:pPr>
      <w:r>
        <w:t>Multipart files are represented by SELECT_FILE placeholders; configured paths and file contents never enter generated output.</w:t>
      </w:r>
    </w:p>
    <w:p>
      <w:pPr>
        <w:pStyle w:val="ListBullet"/>
        <w:spacing w:after="80"/>
        <w:ind w:left="540" w:hanging="271"/>
      </w:pPr>
      <w:r>
        <w:t>A second credential-canary check rejects output if a known sensitive literal survives normalization.</w:t>
      </w:r>
    </w:p>
    <w:p>
      <w:pPr>
        <w:pStyle w:val="ListBullet"/>
        <w:spacing w:after="80"/>
        <w:ind w:left="540" w:hanging="271"/>
      </w:pPr>
      <w:r>
        <w:t>Generated output is capped at 256 KiB and flow expansion at 100 requests.</w:t>
      </w:r>
    </w:p>
    <w:p>
      <w:pPr>
        <w:pStyle w:val="ListBullet"/>
        <w:spacing w:after="80"/>
        <w:ind w:left="540" w:hanging="271"/>
      </w:pPr>
      <w:r>
        <w:t>Flow branch and mapping comments are guidance only; they do not silently claim application-specific orchestration semantics.</w:t>
      </w:r>
    </w:p>
    <w:p>
      <w:pPr>
        <w:pStyle w:val="Heading1"/>
        <w:pageBreakBefore w:val="0"/>
      </w:pPr>
      <w:r>
        <w:t>Platform Packaging</w:t>
      </w:r>
    </w:p>
    <w:p>
      <w:pPr>
        <w:pStyle w:val="ListBullet"/>
        <w:spacing w:after="80"/>
        <w:ind w:left="540" w:hanging="271"/>
      </w:pPr>
      <w:r>
        <w:t>macOS: separate ARM64 (Apple Silicon) and x86_64 (Intel) DMGs with architecture-specific artifact names and post-build Mach-O verification, plus native menus, file dialogs, close protection, offline Help, and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ageBreakBefore w:val="0"/>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ageBreakBefore w:val="0"/>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ageBreakBefore w:val="0"/>
      </w:pPr>
      <w:r>
        <w:t>Known Risks and Deferrals</w:t>
      </w:r>
    </w:p>
    <w:p>
      <w:pPr>
        <w:pStyle w:val="ListBullet"/>
        <w:spacing w:after="80"/>
        <w:ind w:left="540" w:hanging="271"/>
      </w:pPr>
      <w:r>
        <w:t>Unsigned packages can trigger platform trust warnings.</w:t>
      </w:r>
    </w:p>
    <w:p>
      <w:pPr>
        <w:pStyle w:val="ListBullet"/>
        <w:spacing w:after="80"/>
        <w:ind w:left="540" w:hanging="271"/>
      </w:pPr>
      <w:r>
        <w:t>Cross-origin HTTP redirects are intentionally rejected; the developer must enter the final destination explicitly.</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files are authorized only for the current session and destination origin, read at native send time, and limited to 25 MiB. Raw application/octet-stream bodies, streaming uploads, and browser file sends remain deferred.</w:t>
      </w:r>
    </w:p>
    <w:p>
      <w:pPr>
        <w:pStyle w:val="ListBullet"/>
        <w:spacing w:after="80"/>
        <w:ind w:left="540" w:hanging="271"/>
      </w:pPr>
      <w:r>
        <w:t>Legacy raw `.txt` response files require the developer to re-send and save a new self-describing artifact.</w:t>
      </w:r>
    </w:p>
    <w:p>
      <w:pPr>
        <w:pStyle w:val="ListBullet"/>
        <w:spacing w:after="80"/>
        <w:ind w:left="540" w:hanging="271"/>
      </w:pPr>
      <w:r>
        <w:t>User-configured endpoints may return hostile or very large data; response bodies, project files, imports, and comparisons now fail early at documented resource limits.</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ageBreakBefore w:val="0"/>
      </w:pPr>
      <w:r>
        <w:t>Release Checklist</w:t>
      </w:r>
    </w:p>
    <w:p>
      <w:pPr>
        <w:pStyle w:val="ListBullet"/>
        <w:spacing w:after="80"/>
        <w:ind w:left="540" w:hanging="271"/>
      </w:pPr>
      <w:r>
        <w:t>Exact candidate commit identified.</w:t>
      </w:r>
    </w:p>
    <w:p>
      <w:pPr>
        <w:pStyle w:val="ListBullet"/>
        <w:spacing w:after="80"/>
        <w:ind w:left="540" w:hanging="271"/>
      </w:pPr>
      <w:r>
        <w:t>Web, Rust, and security gates pass; configured live REST acceptance passes when beta packaging is in scope.</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