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REST Code Examples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Generate copyable HTTP, cURL, C#, Java, jQuery, Node.js, PHP, Python, and Ruby examples from request or flow tabs without execution.</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Create a new GET request from an HTTP(S) value in formatted JSON while copying authorization only within the source request's origin.</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REST Code Examples</w:t>
      </w:r>
    </w:p>
    <w:p>
      <w:r>
        <w:t>Sprint 19 adds a read-only code-generation surface to request and flow tab context menus. Output is derived from the typed request model, remains deterministic and bounded, and uses safe placeholders for credentials and local files.</w:t>
      </w:r>
    </w:p>
    <w:p>
      <w:pPr>
        <w:pStyle w:val="ListBullet"/>
        <w:spacing w:after="80"/>
        <w:ind w:left="540" w:hanging="271"/>
      </w:pPr>
      <w:r>
        <w:t>Generators: raw HTTP, cURL, C#, Java, jQuery, Node.js, PHP, Python, and Ruby.</w:t>
      </w:r>
    </w:p>
    <w:p>
      <w:pPr>
        <w:pStyle w:val="ListBullet"/>
        <w:spacing w:after="80"/>
        <w:ind w:left="540" w:hanging="271"/>
      </w:pPr>
      <w:r>
        <w:t>Coverage: query/path/header encoding, JSON/text bodies, URL-encoded forms, multipart text/file metadata, and supported HTTP methods.</w:t>
      </w:r>
    </w:p>
    <w:p>
      <w:pPr>
        <w:pStyle w:val="ListBullet"/>
        <w:spacing w:after="80"/>
        <w:ind w:left="540" w:hanging="271"/>
      </w:pPr>
      <w:r>
        <w:t>Flow examples preserve dependency order and annotate success/failure prerequisites plus response mappings; Java and jQuery output capture mapped JSON response values and reuse them in later requests, while application-specific branching remains the developer's responsibility. Java mapping output identifies its Jackson Databind dependency and credential-mask substitution requirement, then rejects non-2xx, empty, malformed JSON, missing, null, or non-scalar mapping responses without echoing response bodies.</w:t>
      </w:r>
    </w:p>
    <w:p>
      <w:pPr>
        <w:pStyle w:val="ListBullet"/>
        <w:spacing w:after="80"/>
        <w:ind w:left="540" w:hanging="271"/>
      </w:pPr>
      <w:r>
        <w:t>Generation never sends a request, reads a local multipart file, persists output, or mutates project state.</w:t>
      </w:r>
    </w:p>
    <w:p>
      <w:pPr>
        <w:pStyle w:val="ListBullet"/>
        <w:spacing w:after="80"/>
        <w:ind w:left="540" w:hanging="271"/>
      </w:pPr>
      <w:r>
        <w:t>Invalid, unsupported, oversized, or secret-bearing inputs receive explicit redacted guidance; output is capped at 256 KiB and flows at 100 requests.</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Hypermedia link tokenization and linked-GET construction live in a typed service; App.tsx owns the tab/project state transition.</w:t>
      </w:r>
    </w:p>
    <w:p>
      <w:pPr>
        <w:pStyle w:val="ListBullet"/>
        <w:spacing w:after="80"/>
        <w:ind w:left="540" w:hanging="271"/>
      </w:pPr>
      <w:r>
        <w:t>Copy authorization only after exact scheme, host, and effective-port equality; reject cross-origin and embedded-credential destinations explicitly.</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Native and browser response bodies are capped at 5 MiB before formatting or IPC.</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Success edges require successful predecessors; failure edges require failed predecessors; all incoming conditions must match.</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Flow mappings use a cloned runtime environment and never persist runtime captures into the project.</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Root and referenced documents are capped at 2 MiB each and 10 MiB aggregate; graph expansion is capped at 20 documents, 32 reference levels, 1,000 entries per container, and 20,000 nodes.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Project and backup reads/writes are capped at 4 MiB before parsing, and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Native and browser response bodies are capped at 5 MiB; project and backup files at 4 MiB; OpenAPI documents and graphs and saved-response comparisons use explicit byte, depth, breadth, node, and diff budgets.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deterministic web quality, Rust quality, and security validation without contacting an external fixture.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