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1.9 | Sprint 19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Hypermedia Response Links</w:t>
      </w:r>
    </w:p>
    <w:p>
      <w:pPr>
        <w:pStyle w:val="ListBullet"/>
        <w:spacing w:after="80"/>
        <w:ind w:left="540" w:hanging="271"/>
      </w:pPr>
      <w:r>
        <w:t>Request And Flow Code Examples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  <w:pageBreakBefore w:val="0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  <w:pageBreakBefore w:val="0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  <w:pageBreakBefore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  <w:pageBreakBefore w:val="0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Secret scanner limitations are reported with supported/unsupported counts rather than presented as a clean scan.</w:t>
      </w:r>
    </w:p>
    <w:p>
      <w:pPr>
        <w:pStyle w:val="ListBullet"/>
        <w:spacing w:after="80"/>
        <w:ind w:left="540" w:hanging="271"/>
      </w:pPr>
      <w:r>
        <w:t>OOXML text parts and relationship parts are parsed and checked, including custom XML, headers, footers, and embedded package metadata.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  <w:r>
        <w:br/>
      </w: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Every Word/VSDX artifact has the expected structure and every XML/rels part is parsed.</w:t>
      </w:r>
    </w:p>
    <w:p>
      <w:pPr>
        <w:pStyle w:val="ListBullet"/>
        <w:spacing w:after="80"/>
        <w:ind w:left="540" w:hanging="271"/>
      </w:pPr>
      <w:r>
        <w:t>External OOXML relationships fail with the artifact and relationship part identified.</w:t>
      </w:r>
    </w:p>
    <w:p>
      <w:pPr>
        <w:pStyle w:val="ListBullet"/>
        <w:spacing w:after="80"/>
        <w:ind w:left="540" w:hanging="271"/>
      </w:pPr>
      <w:r>
        <w:t>Synthetic credential canaries in custom XML or relationship-bearing parts fail before release evidence is accepted.</w:t>
      </w:r>
    </w:p>
    <w:p>
      <w:pPr>
        <w:pStyle w:val="ListBullet"/>
        <w:spacing w:after="80"/>
        <w:ind w:left="540" w:hanging="271"/>
      </w:pPr>
      <w:r>
        <w:t>Unsupported binary and oversized installer content is reported as a limitation by the repository/artifact secret scanner.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  <w:pageBreakBefore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an older schema-v1 project with partial settings and verify current defaults are applied; then provide an explicitly malformed value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  <w:pageBreakBefore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 plus media type persist while the local path is empty and approval is absent.</w:t>
      </w:r>
    </w:p>
    <w:p>
      <w:pPr>
        <w:pStyle w:val="ListBullet"/>
        <w:spacing w:after="80"/>
        <w:ind w:left="540" w:hanging="271"/>
      </w:pPr>
      <w:r>
        <w:t>Enter a synthetic path and confirm Send is blocked until approval; approve it, change origins, and confirm approval is invalidated before native file access.</w:t>
      </w:r>
    </w:p>
    <w:p>
      <w:pPr>
        <w:pStyle w:val="ListBullet"/>
        <w:spacing w:after="80"/>
        <w:ind w:left="540" w:hanging="271"/>
      </w:pPr>
      <w:r>
        <w:t>Send a controlled native multipart request after approval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Verify a same-origin redirect succeeds and reports final origin in desktop mode; a host/port change, missing Location, or redirect loop fails before an unreviewed receiver is contacted. Browser development mode blocks all redirects and tells the developer to enter the final URL explicitly.</w:t>
      </w:r>
    </w:p>
    <w:p>
      <w:pPr>
        <w:pStyle w:val="ListBullet"/>
        <w:spacing w:after="80"/>
        <w:ind w:left="540" w:hanging="271"/>
      </w:pPr>
      <w:r>
        <w:t>Configure a direct receiver plus proxy and verify valid bypass entries route directly while malformed/port-specific entries fail explicitly.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final origin,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  <w:pageBreakBefore/>
      </w:pPr>
      <w:r>
        <w:t>Hypermedia Response Links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Send an authorized request whose formatted JSON includes a same-origin HAL href with path and query parameters.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Activate the HTTP(S) value by pointer and by keyboard Enter; confirm a new GET request becomes the active tab without being 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path, query, Accept header, empty body, folder, timeout/retry settings, and an independent copy of the source authorization profile.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Activate the same URL again and verify unique request IDs and tabs.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Repeat with plain or malformed text, URL-like property names, non-HTTP schemes, embedded URL credentials, duplicate query names, and a different scheme, host, or effective port.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Confirm unsafe/unsupported values leave project services unchanged, present actionable guidance, and never move authorization across origins.</w:t>
      </w:r>
    </w:p>
    <w:p>
      <w:pPr>
        <w:pStyle w:val="Heading1"/>
        <w:pageBreakBefore/>
      </w:pPr>
      <w:r>
        <w:t>Request And Flow Code Examples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Right-click an open request tab, choose Generate Code, and open each of HTTP, cURL, C#, Java, jQuery, Node.js, PHP, Python, and Ruby.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Verify method, URL, encoded parameters, headers, auth placeholders, and JSON/text/form/multipart bodies match the typed request without sending it.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multipart, confirm text fields remain and every local path becomes a SELECT_FILE placeholder; no file is read.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Switch languages in the popup, use Copy Code, deny clipboard access once, and confirm both success and actionable failure feedback.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Right-click a flow tab, select Java and then jQuery, and verify requests are dependency ordered with unique step variables and branch prerequisites; confirm mapped JSON response values are stored in flowVariables and reused by later requests. For Java, confirm the Jackson Databind dependency, credential-mask runtime-substitution notice, and explicit non-2xx/empty/malformed-JSON/missing/null/non-scalar guards are present without response-body disclosure.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Attempt invalid requests, cyclic flows, unsupported language identifiers, more than 100 flow requests, and output over 256 KiB; confirm typed redacted errors and recovery.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After every case, confirm the project dirty indicator, request/flow status, response history, and runtime logs are unchanged.</w:t>
      </w:r>
    </w:p>
    <w:p>
      <w:pPr>
        <w:pStyle w:val="Heading1"/>
        <w:pageBreakBefore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For Swagger UI, verify Inspect retrieves only the page and displays the resolved definition destination. Cancel and prove no secondary request; inspect again and choose Load.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Assign a synthetic local file and save/reopen; confirm its path and authority were removed, then re-enter it, approve the destination in desktop mode, and inspect the receiver.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Repeat credential-bearing URL, final-origin change, invalid document, zero-selection, duplicate-operation, credential-like example, example local-path, cross-origin, circular, malformed, unreachable, over-depth, and excessive-document cases.</w:t>
      </w:r>
    </w:p>
    <w:p>
      <w:pPr>
        <w:pStyle w:val="Heading1"/>
        <w:pageBreakBefore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Exercise the 1 MiB body, 64-level JSON depth, 20,000-node, 10,000-diff-entry, and 10,000-line boundaries; oversized or excessive inputs fail early with actionable guidance.</w:t>
      </w:r>
    </w:p>
    <w:p>
      <w:pPr>
        <w:pStyle w:val="ListNumber"/>
        <w:spacing w:after="80"/>
        <w:ind w:left="540" w:hanging="271"/>
        <w:numPr>
          <w:ilvl w:val="0"/>
          <w:numId w:val="15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  <w:pageBreakBefore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Attempt a response mapping named `baseUrl` with case/whitespace variations and confirm validation blocks execution with environment-edit guidance.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Verify success edges run only after successful predecessors, failure edges run only after failed predecessors, and nodes with multiple incoming conditions wait for every condition.</w:t>
      </w:r>
    </w:p>
    <w:p>
      <w:pPr>
        <w:pStyle w:val="ListBullet"/>
        <w:spacing w:after="80"/>
        <w:ind w:left="540" w:hanging="271"/>
      </w:pPr>
      <w:r>
        <w:t>Confirm response-derived flow captures remain runtime-only and are not written back into persistable project environments.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  <w:pageBreakBefore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 as self-describing Relay envelopes, verify canonical redaction, reopen them, and handle missing/permission-denied paths.</w:t>
      </w:r>
    </w:p>
    <w:p>
      <w:pPr>
        <w:pStyle w:val="ListBullet"/>
        <w:spacing w:after="80"/>
        <w:ind w:left="540" w:hanging="271"/>
      </w:pPr>
      <w:r>
        <w:t>Rename arbitrary local text to `.txt` and confirm it is rejected with guidance; substitute an artifact at a mismatched path and confirm it is rejected before display.</w:t>
      </w:r>
    </w:p>
    <w:p>
      <w:pPr>
        <w:pStyle w:val="ListBullet"/>
        <w:spacing w:after="80"/>
        <w:ind w:left="540" w:hanging="271"/>
      </w:pPr>
      <w:r>
        <w:t>Import an artifact that claims redacted state but contains synthetic URL/body canaries and confirm save, reopen, and comparison reapply redaction.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JSON directly for bearer tokens, passwords, API-key variants, cookies, client secrets, URL userinfo/query values,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  <w:pageBreakBefore/>
      </w:pPr>
      <w:r>
        <w:t>Live REST Acceptance</w:t>
      </w:r>
    </w:p>
    <w:p>
      <w:r>
        <w:t>Live acceptance uses configurable admin, standard, and restricted credentials against a user-selected HTTP(S) target. An optional unauthenticated publicProbe may assert any target-defined status, including 401; no public health endpoint is required. Missing local configuration skips explicitly, and beta packaging is blocked without protected configuration.</w:t>
      </w:r>
    </w:p>
    <w:p>
      <w:pPr>
        <w:pStyle w:val="ListBullet"/>
        <w:spacing w:after="80"/>
        <w:ind w:left="540" w:hanging="271"/>
      </w:pPr>
      <w:r>
        <w:t>Optional public-probe contract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  <w:pageBreakBefore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  <w:pageBreakBefore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  <w:pageBreakBefore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