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AI-KCP — Day 5 Engineering Record</w:t>
      </w:r>
    </w:p>
    <w:p>
      <w:pPr>
        <w:jc w:val="center"/>
      </w:pPr>
      <w:r>
        <w:rPr>
          <w:b/>
          <w:sz w:val="26"/>
        </w:rPr>
        <w:t>RLS Policy Coverage, Data Availability &amp; Integrity Validation</w:t>
      </w:r>
    </w:p>
    <w:p>
      <w:pPr>
        <w:jc w:val="center"/>
      </w:pPr>
      <w:r>
        <w:rPr>
          <w:i/>
        </w:rPr>
        <w:t>Version 1.0  |  24 September 2026  |  Main Branch</w:t>
      </w:r>
    </w:p>
    <w:p>
      <w:pPr>
        <w:pStyle w:val="Heading1"/>
      </w:pPr>
      <w:r>
        <w:t>1. Objective</w:t>
      </w:r>
    </w:p>
    <w:p>
      <w:r>
        <w:t>Extend the Day-4 RLS validation process by inventorying the remaining public-table authorization policies, identifying authorization models requiring distinct treatment, checking availability of runtime fixtures, and confirming that the database and repository remain clean and migration-consistent.</w:t>
      </w:r>
    </w:p>
    <w:p>
      <w:pPr>
        <w:pStyle w:val="Heading1"/>
      </w:pPr>
      <w:r>
        <w:t>2. Execution Constraint</w:t>
      </w:r>
    </w:p>
    <w:p>
      <w:r>
        <w:t>Day 5 was executed under the project’s revised compressed-delivery model: a maximum 90-minute execution window, with no reduction in required security, database-integrity, or documentation standards. The objective was to eliminate unnecessary exploratory work and avoid fabricating test data solely to produce additional PASS results.</w:t>
      </w:r>
    </w:p>
    <w:p>
      <w:pPr>
        <w:pStyle w:val="Heading1"/>
      </w:pPr>
      <w:r>
        <w:t>3. Baseline</w:t>
      </w:r>
    </w:p>
    <w:p>
      <w:pPr>
        <w:pStyle w:val="ListBullet"/>
      </w:pPr>
      <w:r>
        <w:t>Repository: C:\Ashish\AIKCP</w:t>
      </w:r>
    </w:p>
    <w:p>
      <w:pPr>
        <w:pStyle w:val="ListBullet"/>
      </w:pPr>
      <w:r>
        <w:t>Branch: main</w:t>
      </w:r>
    </w:p>
    <w:p>
      <w:pPr>
        <w:pStyle w:val="ListBullet"/>
      </w:pPr>
      <w:r>
        <w:t>Branch synchronization: up to date with origin/main at the final checkpoint.</w:t>
      </w:r>
    </w:p>
    <w:p>
      <w:pPr>
        <w:pStyle w:val="ListBullet"/>
      </w:pPr>
      <w:r>
        <w:t>Working tree: clean at the final checkpoint.</w:t>
      </w:r>
    </w:p>
    <w:p>
      <w:pPr>
        <w:pStyle w:val="ListBullet"/>
      </w:pPr>
      <w:r>
        <w:t>Day-4 RLS runtime evidence was treated as established evidence for the questions authorization model.</w:t>
      </w:r>
    </w:p>
    <w:p>
      <w:pPr>
        <w:pStyle w:val="Heading1"/>
      </w:pPr>
      <w:r>
        <w:t>4. Phase 1 — Baseline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Check</w:t>
            </w:r>
          </w:p>
        </w:tc>
        <w:tc>
          <w:tcPr>
            <w:tcW w:type="dxa" w:w="3312"/>
          </w:tcPr>
          <w:p>
            <w:r>
              <w:t>Observed Result</w:t>
            </w:r>
          </w:p>
        </w:tc>
        <w:tc>
          <w:tcPr>
            <w:tcW w:type="dxa" w:w="3312"/>
          </w:tcPr>
          <w:p>
            <w:r>
              <w:t>Status</w:t>
            </w:r>
          </w:p>
        </w:tc>
      </w:tr>
      <w:tr>
        <w:tc>
          <w:tcPr>
            <w:tcW w:type="dxa" w:w="3312"/>
          </w:tcPr>
          <w:p>
            <w:r>
              <w:t>Supabase schema lint</w:t>
            </w:r>
          </w:p>
        </w:tc>
        <w:tc>
          <w:tcPr>
            <w:tcW w:type="dxa" w:w="3312"/>
          </w:tcPr>
          <w:p>
            <w:r>
              <w:t>No schema errors found</w:t>
            </w:r>
          </w:p>
        </w:tc>
        <w:tc>
          <w:tcPr>
            <w:tcW w:type="dxa" w:w="3312"/>
          </w:tcPr>
          <w:p>
            <w:r>
              <w:t>PASS</w:t>
            </w:r>
          </w:p>
        </w:tc>
      </w:tr>
      <w:tr>
        <w:tc>
          <w:tcPr>
            <w:tcW w:type="dxa" w:w="3312"/>
          </w:tcPr>
          <w:p>
            <w:r>
              <w:t>Supabase schema diff</w:t>
            </w:r>
          </w:p>
        </w:tc>
        <w:tc>
          <w:tcPr>
            <w:tcW w:type="dxa" w:w="3312"/>
          </w:tcPr>
          <w:p>
            <w:r>
              <w:t>No schema changes found</w:t>
            </w:r>
          </w:p>
        </w:tc>
        <w:tc>
          <w:tcPr>
            <w:tcW w:type="dxa" w:w="3312"/>
          </w:tcPr>
          <w:p>
            <w:r>
              <w:t>PASS</w:t>
            </w:r>
          </w:p>
        </w:tc>
      </w:tr>
      <w:tr>
        <w:tc>
          <w:tcPr>
            <w:tcW w:type="dxa" w:w="3312"/>
          </w:tcPr>
          <w:p>
            <w:r>
              <w:t>Git baseline</w:t>
            </w:r>
          </w:p>
        </w:tc>
        <w:tc>
          <w:tcPr>
            <w:tcW w:type="dxa" w:w="3312"/>
          </w:tcPr>
          <w:p>
            <w:r>
              <w:t>Repository remained on main</w:t>
            </w:r>
          </w:p>
        </w:tc>
        <w:tc>
          <w:tcPr>
            <w:tcW w:type="dxa" w:w="3312"/>
          </w:tcPr>
          <w:p>
            <w:r>
              <w:t>PASS</w:t>
            </w:r>
          </w:p>
        </w:tc>
      </w:tr>
    </w:tbl>
    <w:p>
      <w:pPr>
        <w:pStyle w:val="Heading1"/>
      </w:pPr>
      <w:r>
        <w:t>5. Phase 2 — RLS Policy Inventory</w:t>
      </w:r>
    </w:p>
    <w:p>
      <w:r>
        <w:t>The deployed public-schema RLS policy inventory was reviewed to identify common authorization patterns and tables requiring different authorization semantics.</w:t>
      </w:r>
    </w:p>
    <w:p>
      <w:r>
        <w:t>Representative content ownership pattern:</w:t>
      </w:r>
    </w:p>
    <w:p>
      <w:pPr>
        <w:pStyle w:val="ListBullet"/>
      </w:pPr>
      <w:r>
        <w:t>answers, articles, board_content and questions use ownership/write-permission semantics for INSERT/UPDATE and moderator privilege for privileged mutation paths.</w:t>
      </w:r>
    </w:p>
    <w:p>
      <w:pPr>
        <w:pStyle w:val="ListBullet"/>
      </w:pPr>
      <w:r>
        <w:t>Board translations use parent board_content ownership and therefore represent a cross-table authorization pattern.</w:t>
      </w:r>
    </w:p>
    <w:p>
      <w:pPr>
        <w:pStyle w:val="ListBullet"/>
      </w:pPr>
      <w:r>
        <w:t>Board sections/subcategories include an Admin-only mutation model.</w:t>
      </w:r>
    </w:p>
    <w:p>
      <w:pPr>
        <w:pStyle w:val="ListBullet"/>
      </w:pPr>
      <w:r>
        <w:t>Audit logs include an Admin-only access model.</w:t>
      </w:r>
    </w:p>
    <w:p>
      <w:pPr>
        <w:pStyle w:val="ListBullet"/>
      </w:pPr>
      <w:r>
        <w:t>Notifications use recipient-or-Admin semantics.</w:t>
      </w:r>
    </w:p>
    <w:p>
      <w:pPr>
        <w:pStyle w:val="ListBullet"/>
      </w:pPr>
      <w:r>
        <w:t>Reactions use direct user ownership semantics.</w:t>
      </w:r>
    </w:p>
    <w:p>
      <w:pPr>
        <w:pStyle w:val="ListBullet"/>
      </w:pPr>
      <w:r>
        <w:t>Reports use reporter/moderator/Admin semantics.</w:t>
      </w:r>
    </w:p>
    <w:p>
      <w:pPr>
        <w:pStyle w:val="ListBullet"/>
      </w:pPr>
      <w:r>
        <w:t>Profiles use self-or-Admin access semantics.</w:t>
      </w:r>
    </w:p>
    <w:p>
      <w:pPr>
        <w:pStyle w:val="Heading1"/>
      </w:pPr>
      <w:r>
        <w:t>6. Phase 3 — Runtime Data Availability Assessment</w:t>
      </w:r>
    </w:p>
    <w:p>
      <w:r>
        <w:t>Before creating new fixtures, existing data was checked so that valid records could be reused where possible. The result was an empty state for the remaining authorization-sensitive tables.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Table</w:t>
            </w:r>
          </w:p>
        </w:tc>
        <w:tc>
          <w:tcPr>
            <w:tcW w:type="dxa" w:w="4968"/>
          </w:tcPr>
          <w:p>
            <w:r>
              <w:t>Observed Row Count</w:t>
            </w:r>
          </w:p>
        </w:tc>
      </w:tr>
      <w:tr>
        <w:tc>
          <w:tcPr>
            <w:tcW w:type="dxa" w:w="4968"/>
          </w:tcPr>
          <w:p>
            <w:r>
              <w:t>answers</w:t>
            </w:r>
          </w:p>
        </w:tc>
        <w:tc>
          <w:tcPr>
            <w:tcW w:type="dxa" w:w="4968"/>
          </w:tcPr>
          <w:p>
            <w:r>
              <w:t>0</w:t>
            </w:r>
          </w:p>
        </w:tc>
      </w:tr>
      <w:tr>
        <w:tc>
          <w:tcPr>
            <w:tcW w:type="dxa" w:w="4968"/>
          </w:tcPr>
          <w:p>
            <w:r>
              <w:t>articles</w:t>
            </w:r>
          </w:p>
        </w:tc>
        <w:tc>
          <w:tcPr>
            <w:tcW w:type="dxa" w:w="4968"/>
          </w:tcPr>
          <w:p>
            <w:r>
              <w:t>0</w:t>
            </w:r>
          </w:p>
        </w:tc>
      </w:tr>
      <w:tr>
        <w:tc>
          <w:tcPr>
            <w:tcW w:type="dxa" w:w="4968"/>
          </w:tcPr>
          <w:p>
            <w:r>
              <w:t>audit_logs</w:t>
            </w:r>
          </w:p>
        </w:tc>
        <w:tc>
          <w:tcPr>
            <w:tcW w:type="dxa" w:w="4968"/>
          </w:tcPr>
          <w:p>
            <w:r>
              <w:t>0</w:t>
            </w:r>
          </w:p>
        </w:tc>
      </w:tr>
      <w:tr>
        <w:tc>
          <w:tcPr>
            <w:tcW w:type="dxa" w:w="4968"/>
          </w:tcPr>
          <w:p>
            <w:r>
              <w:t>comments</w:t>
            </w:r>
          </w:p>
        </w:tc>
        <w:tc>
          <w:tcPr>
            <w:tcW w:type="dxa" w:w="4968"/>
          </w:tcPr>
          <w:p>
            <w:r>
              <w:t>0</w:t>
            </w:r>
          </w:p>
        </w:tc>
      </w:tr>
      <w:tr>
        <w:tc>
          <w:tcPr>
            <w:tcW w:type="dxa" w:w="4968"/>
          </w:tcPr>
          <w:p>
            <w:r>
              <w:t>current_affairs</w:t>
            </w:r>
          </w:p>
        </w:tc>
        <w:tc>
          <w:tcPr>
            <w:tcW w:type="dxa" w:w="4968"/>
          </w:tcPr>
          <w:p>
            <w:r>
              <w:t>0</w:t>
            </w:r>
          </w:p>
        </w:tc>
      </w:tr>
      <w:tr>
        <w:tc>
          <w:tcPr>
            <w:tcW w:type="dxa" w:w="4968"/>
          </w:tcPr>
          <w:p>
            <w:r>
              <w:t>notifications</w:t>
            </w:r>
          </w:p>
        </w:tc>
        <w:tc>
          <w:tcPr>
            <w:tcW w:type="dxa" w:w="4968"/>
          </w:tcPr>
          <w:p>
            <w:r>
              <w:t>0</w:t>
            </w:r>
          </w:p>
        </w:tc>
      </w:tr>
      <w:tr>
        <w:tc>
          <w:tcPr>
            <w:tcW w:type="dxa" w:w="4968"/>
          </w:tcPr>
          <w:p>
            <w:r>
              <w:t>reactions</w:t>
            </w:r>
          </w:p>
        </w:tc>
        <w:tc>
          <w:tcPr>
            <w:tcW w:type="dxa" w:w="4968"/>
          </w:tcPr>
          <w:p>
            <w:r>
              <w:t>0</w:t>
            </w:r>
          </w:p>
        </w:tc>
      </w:tr>
      <w:tr>
        <w:tc>
          <w:tcPr>
            <w:tcW w:type="dxa" w:w="4968"/>
          </w:tcPr>
          <w:p>
            <w:r>
              <w:t>reports</w:t>
            </w:r>
          </w:p>
        </w:tc>
        <w:tc>
          <w:tcPr>
            <w:tcW w:type="dxa" w:w="4968"/>
          </w:tcPr>
          <w:p>
            <w:r>
              <w:t>0</w:t>
            </w:r>
          </w:p>
        </w:tc>
      </w:tr>
    </w:tbl>
    <w:p>
      <w:r>
        <w:t>The profiles table also had no visible rows for the tested User A profile. User A, Moderator and Admin SELECT requests therefore returned zero rows, and an unfiltered User A profile query also returned zero rows.</w:t>
      </w:r>
    </w:p>
    <w:p>
      <w:pPr>
        <w:pStyle w:val="Heading1"/>
      </w:pPr>
      <w:r>
        <w:t>7. Runtime Validation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Area</w:t>
            </w:r>
          </w:p>
        </w:tc>
        <w:tc>
          <w:tcPr>
            <w:tcW w:type="dxa" w:w="3312"/>
          </w:tcPr>
          <w:p>
            <w:r>
              <w:t>Classification</w:t>
            </w:r>
          </w:p>
        </w:tc>
        <w:tc>
          <w:tcPr>
            <w:tcW w:type="dxa" w:w="3312"/>
          </w:tcPr>
          <w:p>
            <w:r>
              <w:t>Reason</w:t>
            </w:r>
          </w:p>
        </w:tc>
      </w:tr>
      <w:tr>
        <w:tc>
          <w:tcPr>
            <w:tcW w:type="dxa" w:w="3312"/>
          </w:tcPr>
          <w:p>
            <w:r>
              <w:t>questions RLS</w:t>
            </w:r>
          </w:p>
        </w:tc>
        <w:tc>
          <w:tcPr>
            <w:tcW w:type="dxa" w:w="3312"/>
          </w:tcPr>
          <w:p>
            <w:r>
              <w:t>Validated — Day 4 evidence</w:t>
            </w:r>
          </w:p>
        </w:tc>
        <w:tc>
          <w:tcPr>
            <w:tcW w:type="dxa" w:w="3312"/>
          </w:tcPr>
          <w:p>
            <w:r>
              <w:t>Runtime ownership, Moderator and Admin-path behavior was demonstrated during Day 4.</w:t>
            </w:r>
          </w:p>
        </w:tc>
      </w:tr>
      <w:tr>
        <w:tc>
          <w:tcPr>
            <w:tcW w:type="dxa" w:w="3312"/>
          </w:tcPr>
          <w:p>
            <w:r>
              <w:t>Remaining RLS policy inventory</w:t>
            </w:r>
          </w:p>
        </w:tc>
        <w:tc>
          <w:tcPr>
            <w:tcW w:type="dxa" w:w="3312"/>
          </w:tcPr>
          <w:p>
            <w:r>
              <w:t>Validated</w:t>
            </w:r>
          </w:p>
        </w:tc>
        <w:tc>
          <w:tcPr>
            <w:tcW w:type="dxa" w:w="3312"/>
          </w:tcPr>
          <w:p>
            <w:r>
              <w:t>Policies were inventoried and authorization models identified.</w:t>
            </w:r>
          </w:p>
        </w:tc>
      </w:tr>
      <w:tr>
        <w:tc>
          <w:tcPr>
            <w:tcW w:type="dxa" w:w="3312"/>
          </w:tcPr>
          <w:p>
            <w:r>
              <w:t>answers/articles/comments/current_affairs</w:t>
            </w:r>
          </w:p>
        </w:tc>
        <w:tc>
          <w:tcPr>
            <w:tcW w:type="dxa" w:w="3312"/>
          </w:tcPr>
          <w:p>
            <w:r>
              <w:t>Runtime validation pending fixtures</w:t>
            </w:r>
          </w:p>
        </w:tc>
        <w:tc>
          <w:tcPr>
            <w:tcW w:type="dxa" w:w="3312"/>
          </w:tcPr>
          <w:p>
            <w:r>
              <w:t>No rows available during Day 5.</w:t>
            </w:r>
          </w:p>
        </w:tc>
      </w:tr>
      <w:tr>
        <w:tc>
          <w:tcPr>
            <w:tcW w:type="dxa" w:w="3312"/>
          </w:tcPr>
          <w:p>
            <w:r>
              <w:t>notifications/reactions/reports/audit_logs</w:t>
            </w:r>
          </w:p>
        </w:tc>
        <w:tc>
          <w:tcPr>
            <w:tcW w:type="dxa" w:w="3312"/>
          </w:tcPr>
          <w:p>
            <w:r>
              <w:t>Runtime validation pending fixtures</w:t>
            </w:r>
          </w:p>
        </w:tc>
        <w:tc>
          <w:tcPr>
            <w:tcW w:type="dxa" w:w="3312"/>
          </w:tcPr>
          <w:p>
            <w:r>
              <w:t>No rows available during Day 5.</w:t>
            </w:r>
          </w:p>
        </w:tc>
      </w:tr>
      <w:tr>
        <w:tc>
          <w:tcPr>
            <w:tcW w:type="dxa" w:w="3312"/>
          </w:tcPr>
          <w:p>
            <w:r>
              <w:t>profiles</w:t>
            </w:r>
          </w:p>
        </w:tc>
        <w:tc>
          <w:tcPr>
            <w:tcW w:type="dxa" w:w="3312"/>
          </w:tcPr>
          <w:p>
            <w:r>
              <w:t>Runtime validation pending fixtures</w:t>
            </w:r>
          </w:p>
        </w:tc>
        <w:tc>
          <w:tcPr>
            <w:tcW w:type="dxa" w:w="3312"/>
          </w:tcPr>
          <w:p>
            <w:r>
              <w:t>No visible profile rows available for the tested identity.</w:t>
            </w:r>
          </w:p>
        </w:tc>
      </w:tr>
    </w:tbl>
    <w:p>
      <w:pPr>
        <w:pStyle w:val="Heading1"/>
      </w:pPr>
      <w:r>
        <w:t>8. Engineering Decision — No Fabricated Fixtures</w:t>
      </w:r>
    </w:p>
    <w:p>
      <w:r>
        <w:t>No artificial records were inserted into the eight empty authorization-sensitive tables solely to manufacture runtime PASS results. This avoided unnecessary foreign-key setup, fixture creation and cleanup work and preserved the distinction between policy-level coverage and actual row-level runtime evidence.</w:t>
      </w:r>
    </w:p>
    <w:p>
      <w:r>
        <w:t>The resulting status is intentionally recorded as 'runtime validation pending fixture availability' rather than as PASS. This preserves audit accuracy and provides a clear follow-up condition for application or integration testing when real fixtures become available.</w:t>
      </w:r>
    </w:p>
    <w:p>
      <w:pPr>
        <w:pStyle w:val="Heading1"/>
      </w:pPr>
      <w:r>
        <w:t>9. Final Integrity Validation</w:t>
      </w:r>
    </w:p>
    <w:p>
      <w:pPr>
        <w:pStyle w:val="ListBullet"/>
      </w:pPr>
      <w:r>
        <w:t>npx supabase db lint → No schema errors found.</w:t>
      </w:r>
    </w:p>
    <w:p>
      <w:pPr>
        <w:pStyle w:val="ListBullet"/>
      </w:pPr>
      <w:r>
        <w:t>npx supabase db diff → No schema changes found.</w:t>
      </w:r>
    </w:p>
    <w:p>
      <w:pPr>
        <w:pStyle w:val="ListBullet"/>
      </w:pPr>
      <w:r>
        <w:t>Temporary Supabase snippets created during SQL-editor work were removed.</w:t>
      </w:r>
    </w:p>
    <w:p>
      <w:pPr>
        <w:pStyle w:val="ListBullet"/>
      </w:pPr>
      <w:r>
        <w:t>git status → nothing to commit, working tree clean.</w:t>
      </w:r>
    </w:p>
    <w:p>
      <w:pPr>
        <w:pStyle w:val="Heading1"/>
      </w:pPr>
      <w:r>
        <w:t>10. Security Observations</w:t>
      </w:r>
    </w:p>
    <w:p>
      <w:pPr>
        <w:pStyle w:val="ListBullet"/>
      </w:pPr>
      <w:r>
        <w:t>The Day-4 questions RLS implementation remains the only authorization family with direct runtime row-level evidence in the current controlled dataset.</w:t>
      </w:r>
    </w:p>
    <w:p>
      <w:pPr>
        <w:pStyle w:val="ListBullet"/>
      </w:pPr>
      <w:r>
        <w:t>The policy inventory identifies several distinct authorization models that should receive runtime integration coverage when representative fixtures exist.</w:t>
      </w:r>
    </w:p>
    <w:p>
      <w:pPr>
        <w:pStyle w:val="ListBullet"/>
      </w:pPr>
      <w:r>
        <w:t>Empty tables must not be interpreted as proof that their RLS policies work at runtime; only policy registration and schema integrity were verified for those tables during Day 5.</w:t>
      </w:r>
    </w:p>
    <w:p>
      <w:pPr>
        <w:pStyle w:val="ListBullet"/>
      </w:pPr>
      <w:r>
        <w:t>No schema drift or lint defects were introduced during Day 5.</w:t>
      </w:r>
    </w:p>
    <w:p>
      <w:pPr>
        <w:pStyle w:val="Heading1"/>
      </w:pPr>
      <w:r>
        <w:t>11. Issues / Deviations</w:t>
      </w:r>
    </w:p>
    <w:p>
      <w:r>
        <w:t>No database or migration defect was identified. The primary execution limitation was absence of runtime rows in the remaining authorization-sensitive tables. This was handled by documenting the limitation instead of generating unnecessary fixtures.</w:t>
      </w:r>
    </w:p>
    <w:p>
      <w:pPr>
        <w:pStyle w:val="Heading1"/>
      </w:pPr>
      <w:r>
        <w:t>12. Day-5 Conclusion</w:t>
      </w:r>
    </w:p>
    <w:p>
      <w:r>
        <w:t>Day 5 completed the planned RLS policy inventory and database/repository integrity checks within the compressed execution model. Existing Day-4 runtime evidence was retained for the questions authorization family. The remaining authorization-sensitive tables were found to be empty, so their row-level runtime behavior remains pending representative fixtures. No schema changes, lint errors, or repository artifacts remain.</w:t>
      </w:r>
    </w:p>
    <w:p>
      <w:pPr>
        <w:pStyle w:val="Heading1"/>
      </w:pPr>
      <w:r>
        <w:t>13. Day-6 Readiness</w:t>
      </w:r>
    </w:p>
    <w:p>
      <w:r>
        <w:t>The repository is clean and migration-consistent. Day 6 can proceed without reopening Day-5 database work. Where runtime authorization coverage is required for the remaining tables, it should be incorporated into the next application/integration test phase using controlled or real application fixtures.</w:t>
      </w:r>
    </w:p>
    <w:p>
      <w:pPr>
        <w:pStyle w:val="Heading1"/>
      </w:pPr>
      <w:r>
        <w:t>14. Evidence Summary</w:t>
      </w:r>
    </w:p>
    <w:p>
      <w:r>
        <w:t>Day-5 evidence consisted of Supabase policy inventory results, row-count/data-availability checks, runtime profile SELECT observations, final schema lint/diff results, and final Git status. The record distinguishes directly observed runtime results from policy-level and inherited Day-4 evidence.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