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BUSINESS REQUIREMENTS DOCUMENT (BRD)</w:t>
      </w:r>
    </w:p>
    <w:p>
      <w:pPr>
        <w:jc w:val="center"/>
      </w:pPr>
      <w:r>
        <w:t>AI-KCP — AI-Powered Knowledge &amp; Community Platform</w:t>
      </w:r>
    </w:p>
    <w:p>
      <w:r>
        <w:t>Version v1.0 | Timestamp 20260920-1746 | STATUS: LOCKED | Authority: RGR-01 / AIKCP-01 signed 20-09-2026</w:t>
      </w:r>
    </w:p>
    <w:p>
      <w:pPr>
        <w:pStyle w:val="Heading1"/>
      </w:pPr>
      <w:r>
        <w:t>1. Business Need</w:t>
      </w:r>
    </w:p>
    <w:p>
      <w:r>
        <w:t>Create a configurable knowledge and community platform where content, community participation, discovery, multilingual access, moderation, administration and AI capabilities operate as one governed product.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Support configurable brands/domains without redesigning the core.</w:t>
      </w:r>
    </w:p>
    <w:p>
      <w:pPr>
        <w:pStyle w:val="ListBullet"/>
      </w:pPr>
      <w:r>
        <w:t>Enable users to consume and contribute knowledge/content.</w:t>
      </w:r>
    </w:p>
    <w:p>
      <w:pPr>
        <w:pStyle w:val="ListBullet"/>
      </w:pPr>
      <w:r>
        <w:t>Use AI across the platform, not only as an assistant.</w:t>
      </w:r>
    </w:p>
    <w:p>
      <w:pPr>
        <w:pStyle w:val="ListBullet"/>
      </w:pPr>
      <w:r>
        <w:t>Provide multilingual access with preserved canonical originals.</w:t>
      </w:r>
    </w:p>
    <w:p>
      <w:pPr>
        <w:pStyle w:val="ListBullet"/>
      </w:pPr>
      <w:r>
        <w:t>Provide controlled moderation, auditability, analytics and administration.</w:t>
      </w:r>
    </w:p>
    <w:p>
      <w:pPr>
        <w:pStyle w:val="ListBullet"/>
      </w:pPr>
      <w:r>
        <w:t>Create a production-grade, portable engineering record.</w:t>
      </w:r>
    </w:p>
    <w:p>
      <w:pPr>
        <w:pStyle w:val="Heading1"/>
      </w:pPr>
      <w:r>
        <w:t>3. Business Capability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Capability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Business Requirement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7"/>
              </w:rPr>
              <w:t>Platform</w:t>
            </w:r>
          </w:p>
        </w:tc>
        <w:tc>
          <w:tcPr>
            <w:tcW w:type="dxa" w:w="5040"/>
          </w:tcPr>
          <w:p>
            <w:r>
              <w:rPr>
                <w:b w:val="0"/>
                <w:sz w:val="17"/>
              </w:rPr>
              <w:t>Configuration-driven branding, modules, navigation, taxonomy, terminology, languages, legal/contact/social data and feature flags.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7"/>
              </w:rPr>
              <w:t>Identity</w:t>
            </w:r>
          </w:p>
        </w:tc>
        <w:tc>
          <w:tcPr>
            <w:tcW w:type="dxa" w:w="5040"/>
          </w:tcPr>
          <w:p>
            <w:r>
              <w:rPr>
                <w:b w:val="0"/>
                <w:sz w:val="17"/>
              </w:rPr>
              <w:t>Email OTP registration/authentication; profiles; account lifecycle; contributor workflow.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7"/>
              </w:rPr>
              <w:t>Community</w:t>
            </w:r>
          </w:p>
        </w:tc>
        <w:tc>
          <w:tcPr>
            <w:tcW w:type="dxa" w:w="5040"/>
          </w:tcPr>
          <w:p>
            <w:r>
              <w:rPr>
                <w:b w:val="0"/>
                <w:sz w:val="17"/>
              </w:rPr>
              <w:t>Questions, answers/responses, comments, replies, reactions, reports, bookmarks, history and notifications.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7"/>
              </w:rPr>
              <w:t>Knowledge</w:t>
            </w:r>
          </w:p>
        </w:tc>
        <w:tc>
          <w:tcPr>
            <w:tcW w:type="dxa" w:w="5040"/>
          </w:tcPr>
          <w:p>
            <w:r>
              <w:rPr>
                <w:b w:val="0"/>
                <w:sz w:val="17"/>
              </w:rPr>
              <w:t>Articles, Current Affairs, Board content, source provenance and version/change history.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040"/>
          </w:tcPr>
          <w:p>
            <w:r>
              <w:rPr>
                <w:b w:val="0"/>
                <w:sz w:val="17"/>
              </w:rPr>
              <w:t>Moderation/risk classification, classification, suggestions, summaries, translation, related content, recommendations, assistant, news processing, contributor assistance and analytics/insights.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5040"/>
          </w:tcPr>
          <w:p>
            <w:r>
              <w:rPr>
                <w:b w:val="0"/>
                <w:sz w:val="17"/>
              </w:rPr>
              <w:t>Global search, filters, semantic/vector search and AI/vector recommendations.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7"/>
              </w:rPr>
              <w:t>Administration</w:t>
            </w:r>
          </w:p>
        </w:tc>
        <w:tc>
          <w:tcPr>
            <w:tcW w:type="dxa" w:w="5040"/>
          </w:tcPr>
          <w:p>
            <w:r>
              <w:rPr>
                <w:b w:val="0"/>
                <w:sz w:val="17"/>
              </w:rPr>
              <w:t>RBAC, configuration, users, reports, sources, moderation, audit and analytics.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7"/>
              </w:rPr>
              <w:t>Engineering</w:t>
            </w:r>
          </w:p>
        </w:tc>
        <w:tc>
          <w:tcPr>
            <w:tcW w:type="dxa" w:w="5040"/>
          </w:tcPr>
          <w:p>
            <w:r>
              <w:rPr>
                <w:b w:val="0"/>
                <w:sz w:val="17"/>
              </w:rPr>
              <w:t>Security, accessibility, performance, CI/CD, observability, backup/rollback, documentation and evaluation.</w:t>
            </w:r>
          </w:p>
        </w:tc>
      </w:tr>
    </w:tbl>
    <w:p>
      <w:pPr>
        <w:pStyle w:val="Heading1"/>
      </w:pPr>
      <w:r>
        <w:t>4. Business Rules</w:t>
      </w:r>
    </w:p>
    <w:p>
      <w:pPr>
        <w:pStyle w:val="ListBullet"/>
      </w:pPr>
      <w:r>
        <w:t>AI ALLOW may publish automatically; FLAG/HOLD enters review; BLOCK prevents publication, with human override and audit where specified.</w:t>
      </w:r>
    </w:p>
    <w:p>
      <w:pPr>
        <w:pStyle w:val="ListBullet"/>
      </w:pPr>
      <w:r>
        <w:t>New users have server-enforced contribution limits for the first 15 days: 2 articles, 5 responses, 10 comments and 10 replies per day.</w:t>
      </w:r>
    </w:p>
    <w:p>
      <w:pPr>
        <w:pStyle w:val="ListBullet"/>
      </w:pPr>
      <w:r>
        <w:t>After three qualifying flags, an account becomes read-only; comments/contributions are blocked and the user cannot delete/deactivate until authorized Moderator/Admin action.</w:t>
      </w:r>
    </w:p>
    <w:p>
      <w:pPr>
        <w:pStyle w:val="ListBullet"/>
      </w:pPr>
      <w:r>
        <w:t>Trusted-source Current Affairs items may auto-publish only when configured as trusted and required ingestion/validation/AI checks succeed.</w:t>
      </w:r>
    </w:p>
    <w:p>
      <w:pPr>
        <w:pStyle w:val="ListBullet"/>
      </w:pPr>
      <w:r>
        <w:t>Original content remains canonical; translations do not overwrite it.</w:t>
      </w:r>
    </w:p>
    <w:p>
      <w:pPr>
        <w:pStyle w:val="Heading1"/>
      </w:pPr>
      <w:r>
        <w:t>5. Acceptance / Portfolio Outcomes</w:t>
      </w:r>
    </w:p>
    <w:p>
      <w:pPr>
        <w:pStyle w:val="ListBullet"/>
      </w:pPr>
      <w:r>
        <w:t>Seven Day-31 demonstrations listed in RGR-01 are mandatory.</w:t>
      </w:r>
    </w:p>
    <w:p>
      <w:pPr>
        <w:pStyle w:val="ListBullet"/>
      </w:pPr>
      <w:r>
        <w:t>All approved requirements must be traceable to system requirements, implementation and tests.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