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CASE</w:t>
      </w:r>
    </w:p>
    <w:p>
      <w:pPr>
        <w:jc w:val="center"/>
      </w:pPr>
      <w:r>
        <w:t>AI-KCP — AI-Powered Knowledge &amp; Community Platform</w:t>
      </w:r>
    </w:p>
    <w:p>
      <w:r>
        <w:t>Version: v1.0 | Timestamp: 20260920-1746 | Status: LOCKED | Owner: Product Owner</w:t>
      </w:r>
    </w:p>
    <w:p>
      <w:r>
        <w:t>Source baseline: RGR-01 / Requirements Baseline AIKCP-01, signed 20-09-2026.</w:t>
      </w:r>
    </w:p>
    <w:p>
      <w:pPr>
        <w:pStyle w:val="Heading1"/>
      </w:pPr>
      <w:r>
        <w:t>1. Executive Summary</w:t>
      </w:r>
    </w:p>
    <w:p>
      <w:r>
        <w:t>AI-KCP addresses the need for a reusable knowledge/community platform in which AI is an integrated product and engineering capability rather than an isolated chatbot. Sanatan Board India provides the first concrete domain while the platform remains configurable for future domains.</w:t>
      </w:r>
    </w:p>
    <w:p>
      <w:pPr>
        <w:pStyle w:val="Heading1"/>
      </w:pPr>
      <w:r>
        <w:t>2. Business Problem / Opportunity</w:t>
      </w:r>
    </w:p>
    <w:p>
      <w:pPr>
        <w:pStyle w:val="ListBullet"/>
      </w:pPr>
      <w:r>
        <w:t>Community and knowledge features can become fragmented across content, moderation, search and administration.</w:t>
      </w:r>
    </w:p>
    <w:p>
      <w:pPr>
        <w:pStyle w:val="ListBullet"/>
      </w:pPr>
      <w:r>
        <w:t>AI can automate high-volume classification, moderation assistance, translation, summarization and discovery when governed and evaluated.</w:t>
      </w:r>
    </w:p>
    <w:p>
      <w:pPr>
        <w:pStyle w:val="ListBullet"/>
      </w:pPr>
      <w:r>
        <w:t>A configurable core reduces redevelopment when changing brand, domain or subject matter.</w:t>
      </w:r>
    </w:p>
    <w:p>
      <w:pPr>
        <w:pStyle w:val="ListBullet"/>
      </w:pPr>
      <w:r>
        <w:t>A documented engineering trail provides demonstrable evidence of product, software engineering, security, AI governance and DevOps practices.</w:t>
      </w:r>
    </w:p>
    <w:p>
      <w:pPr>
        <w:pStyle w:val="Heading1"/>
      </w:pPr>
      <w:r>
        <w:t>3. Proposed Solution</w:t>
      </w:r>
    </w:p>
    <w:p>
      <w:r>
        <w:t>Build a React/Vite/TypeScript frontend backed by Supabase/PostgreSQL/Auth/Storage, with reusable domain-neutral data models and services, configurable platform settings, server-side security, AI provider abstraction, prompt versioning, evaluation and human-in-the-loop controls.</w:t>
      </w:r>
    </w:p>
    <w:p>
      <w:pPr>
        <w:pStyle w:val="Heading1"/>
      </w:pPr>
      <w:r>
        <w:t>4. Expected Value</w:t>
      </w:r>
    </w:p>
    <w:p>
      <w:pPr>
        <w:pStyle w:val="ListBullet"/>
      </w:pPr>
      <w:r>
        <w:t>Reusable architecture across multiple community/knowledge deployments.</w:t>
      </w:r>
    </w:p>
    <w:p>
      <w:pPr>
        <w:pStyle w:val="ListBullet"/>
      </w:pPr>
      <w:r>
        <w:t>Reduced manual moderation and editorial effort through controlled AI workflows.</w:t>
      </w:r>
    </w:p>
    <w:p>
      <w:pPr>
        <w:pStyle w:val="ListBullet"/>
      </w:pPr>
      <w:r>
        <w:t>Multilingual reach through a configurable language catalogue.</w:t>
      </w:r>
    </w:p>
    <w:p>
      <w:pPr>
        <w:pStyle w:val="ListBullet"/>
      </w:pPr>
      <w:r>
        <w:t>Improved content discovery through search, semantic retrieval and recommendations.</w:t>
      </w:r>
    </w:p>
    <w:p>
      <w:pPr>
        <w:pStyle w:val="ListBullet"/>
      </w:pPr>
      <w:r>
        <w:t>Portfolio evidence spanning product, engineering, security, AI and DevOps.</w:t>
      </w:r>
    </w:p>
    <w:p>
      <w:pPr>
        <w:pStyle w:val="Heading1"/>
      </w:pPr>
      <w:r>
        <w:t>5. Commercial Constraints</w:t>
      </w:r>
    </w:p>
    <w:p>
      <w:r>
        <w:t>The v1 project is designed without mandatory paid services. No payment gateway is included in v1; future donation/payment mechanisms remain configurable future scope.</w:t>
      </w:r>
    </w:p>
    <w:p>
      <w:pPr>
        <w:pStyle w:val="Heading1"/>
      </w:pPr>
      <w:r>
        <w:t>6. Alternatives Considered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Alternative</w:t>
            </w:r>
          </w:p>
        </w:tc>
        <w:tc>
          <w:tcPr>
            <w:tcW w:type="dxa" w:w="4968"/>
          </w:tcPr>
          <w:p>
            <w:r>
              <w:rPr>
                <w:b/>
                <w:sz w:val="18"/>
              </w:rPr>
              <w:t>Implication</w:t>
            </w:r>
          </w:p>
        </w:tc>
      </w:tr>
      <w:tr>
        <w:tc>
          <w:tcPr>
            <w:tcW w:type="dxa" w:w="4968"/>
          </w:tcPr>
          <w:p>
            <w:r>
              <w:rPr>
                <w:sz w:val="18"/>
              </w:rPr>
              <w:t>Brand-specific site only</w:t>
            </w:r>
          </w:p>
        </w:tc>
        <w:tc>
          <w:tcPr>
            <w:tcW w:type="dxa" w:w="4968"/>
          </w:tcPr>
          <w:p>
            <w:r>
              <w:rPr>
                <w:sz w:val="18"/>
              </w:rPr>
              <w:t>Narrower build but weaker reuse and portability.</w:t>
            </w:r>
          </w:p>
        </w:tc>
      </w:tr>
      <w:tr>
        <w:tc>
          <w:tcPr>
            <w:tcW w:type="dxa" w:w="4968"/>
          </w:tcPr>
          <w:p>
            <w:r>
              <w:rPr>
                <w:sz w:val="18"/>
              </w:rPr>
              <w:t>Third-party community platform</w:t>
            </w:r>
          </w:p>
        </w:tc>
        <w:tc>
          <w:tcPr>
            <w:tcW w:type="dxa" w:w="4968"/>
          </w:tcPr>
          <w:p>
            <w:r>
              <w:rPr>
                <w:sz w:val="18"/>
              </w:rPr>
              <w:t>Less control and weaker demonstration of custom AI/security architecture.</w:t>
            </w:r>
          </w:p>
        </w:tc>
      </w:tr>
      <w:tr>
        <w:tc>
          <w:tcPr>
            <w:tcW w:type="dxa" w:w="4968"/>
          </w:tcPr>
          <w:p>
            <w:r>
              <w:rPr>
                <w:sz w:val="18"/>
              </w:rPr>
              <w:t>Separate AI chatbot</w:t>
            </w:r>
          </w:p>
        </w:tc>
        <w:tc>
          <w:tcPr>
            <w:tcW w:type="dxa" w:w="4968"/>
          </w:tcPr>
          <w:p>
            <w:r>
              <w:rPr>
                <w:sz w:val="18"/>
              </w:rPr>
              <w:t>AI remains isolated rather than integrated into platform workflows.</w:t>
            </w:r>
          </w:p>
        </w:tc>
      </w:tr>
      <w:tr>
        <w:tc>
          <w:tcPr>
            <w:tcW w:type="dxa" w:w="4968"/>
          </w:tcPr>
          <w:p>
            <w:r>
              <w:rPr>
                <w:sz w:val="18"/>
              </w:rPr>
              <w:t>Configurable AI-KCP</w:t>
            </w:r>
          </w:p>
        </w:tc>
        <w:tc>
          <w:tcPr>
            <w:tcW w:type="dxa" w:w="4968"/>
          </w:tcPr>
          <w:p>
            <w:r>
              <w:rPr>
                <w:sz w:val="18"/>
              </w:rPr>
              <w:t>Reusable platform and coherent engineering baseline; requires stronger initial design discipline.</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