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ENGINEERING GOVERNANCE, ADR &amp; DAILY RECORD SPECIFICATION</w:t>
      </w:r>
    </w:p>
    <w:p>
      <w:pPr>
        <w:jc w:val="center"/>
      </w:pPr>
      <w:r>
        <w:rPr>
          <w:b/>
        </w:rPr>
        <w:t>AI-KCP — AI-Powered Knowledge &amp; Community Platform</w:t>
        <w:br/>
      </w:r>
      <w:r>
        <w:rPr>
          <w:b/>
        </w:rPr>
        <w:t>Document ID: AIKCP-D23 | Version 1.0 | 20 September 2026 | Baseline</w:t>
      </w:r>
    </w:p>
    <w:p>
      <w:pPr>
        <w:pStyle w:val="Heading1"/>
      </w:pPr>
      <w:r>
        <w:t>1. Purpose</w:t>
      </w:r>
    </w:p>
    <w:p>
      <w:r>
        <w:t>Defines how AI-KCP records architectural decisions, daily progress, engineering evidence and handover information through Day 30/31. It complements the approved Project Handover and Master Project Context Prompt.</w:t>
      </w:r>
    </w:p>
    <w:p>
      <w:pPr>
        <w:pStyle w:val="Heading1"/>
      </w:pPr>
      <w:r>
        <w:t>2. ADR standard</w:t>
      </w:r>
    </w:p>
    <w:p>
      <w:pPr>
        <w:pStyle w:val="ListBullet"/>
      </w:pPr>
      <w:r>
        <w:t>IDs use ADR-###.</w:t>
      </w:r>
    </w:p>
    <w:p>
      <w:pPr>
        <w:pStyle w:val="ListBullet"/>
      </w:pPr>
      <w:r>
        <w:t>Record status: Proposed / Accepted / Superseded / Rejected.</w:t>
      </w:r>
    </w:p>
    <w:p>
      <w:pPr>
        <w:pStyle w:val="ListBullet"/>
      </w:pPr>
      <w:r>
        <w:t>Capture context, decision, alternatives, consequences, requirements impact, artifacts and owner.</w:t>
      </w:r>
    </w:p>
    <w:p>
      <w:pPr>
        <w:pStyle w:val="ListBullet"/>
      </w:pPr>
      <w:r>
        <w:t>Accepted ADRs remain historical; superseding decisions create new ADRs.</w:t>
      </w:r>
    </w:p>
    <w:p>
      <w:pPr>
        <w:pStyle w:val="ListBullet"/>
      </w:pPr>
      <w:r>
        <w:t>Security, authentication, database architecture, AI governance, environment strategy and major technology changes require ADR review.</w:t>
      </w:r>
    </w:p>
    <w:p>
      <w:pPr>
        <w:pStyle w:val="Heading1"/>
      </w:pPr>
      <w:r>
        <w:t>3. Daily record standard</w:t>
      </w:r>
    </w:p>
    <w:p>
      <w:pPr>
        <w:pStyle w:val="ListBullet"/>
      </w:pPr>
      <w:r>
        <w:t>Create DAY-01 through DAY-30.</w:t>
      </w:r>
    </w:p>
    <w:p>
      <w:pPr>
        <w:pStyle w:val="ListBullet"/>
      </w:pPr>
      <w:r>
        <w:t>Record completed work, decisions, files, tests, problems/risks, next steps and commit/release reference.</w:t>
      </w:r>
    </w:p>
    <w:p>
      <w:pPr>
        <w:pStyle w:val="ListBullet"/>
      </w:pPr>
      <w:r>
        <w:t>Use the same structure daily for cold-start recovery.</w:t>
      </w:r>
    </w:p>
    <w:p>
      <w:pPr>
        <w:pStyle w:val="ListBullet"/>
      </w:pPr>
      <w:r>
        <w:t>Never record secrets, OTPs, passwords or sensitive production data.</w:t>
      </w:r>
    </w:p>
    <w:p>
      <w:pPr>
        <w:pStyle w:val="Heading1"/>
      </w:pPr>
      <w:r>
        <w:t>4. Daily record fields</w:t>
      </w:r>
    </w:p>
    <w:p>
      <w:pPr>
        <w:pStyle w:val="ListBullet"/>
      </w:pPr>
      <w:r>
        <w:t>Date/Day; Objective; Completed; Decisions/ADR references; Files created/changed; Tests and results; Problems/blockers; Security changes/tests; Next steps; Git commit/PR/release/tag.</w:t>
      </w:r>
    </w:p>
    <w:p>
      <w:pPr>
        <w:pStyle w:val="Heading1"/>
      </w:pPr>
      <w:r>
        <w:t>5. Repository governance</w:t>
      </w:r>
    </w:p>
    <w:p>
      <w:pPr>
        <w:pStyle w:val="ListBullet"/>
      </w:pPr>
      <w:r>
        <w:t>GitHub is the source of truth for code, migrations, docs, prompts, tests, evaluation datasets/results and daily records.</w:t>
      </w:r>
    </w:p>
    <w:p>
      <w:pPr>
        <w:pStyle w:val="ListBullet"/>
      </w:pPr>
      <w:r>
        <w:t>Meaningful commits/pushes occur daily during active execution.</w:t>
      </w:r>
    </w:p>
    <w:p>
      <w:pPr>
        <w:pStyle w:val="ListBullet"/>
      </w:pPr>
      <w:r>
        <w:t>Use branches, PRs, issues, milestones, labels, CI and releases.</w:t>
      </w:r>
    </w:p>
    <w:p>
      <w:pPr>
        <w:pStyle w:val="ListBullet"/>
      </w:pPr>
      <w:r>
        <w:t>Exclude secrets and sensitive production data.</w:t>
      </w:r>
    </w:p>
    <w:p>
      <w:pPr>
        <w:pStyle w:val="Heading1"/>
      </w:pPr>
      <w:r>
        <w:t>6. Document governance</w:t>
      </w:r>
    </w:p>
    <w:p>
      <w:pPr>
        <w:pStyle w:val="ListBullet"/>
      </w:pPr>
      <w:r>
        <w:t>Use AI-KCP-[DocumentName]-v[Major.Minor]-[YYYYMMDD-HHmm].ext.</w:t>
      </w:r>
    </w:p>
    <w:p>
      <w:pPr>
        <w:pStyle w:val="ListBullet"/>
      </w:pPr>
      <w:r>
        <w:t>Do not create versions for trivial wording changes unless baseline meaning changes.</w:t>
      </w:r>
    </w:p>
    <w:p>
      <w:pPr>
        <w:pStyle w:val="ListBullet"/>
      </w:pPr>
      <w:r>
        <w:t>Document Register identifies approved baselines.</w:t>
      </w:r>
    </w:p>
    <w:p>
      <w:pPr>
        <w:pStyle w:val="ListBullet"/>
      </w:pPr>
      <w:r>
        <w:t>Requirements changes flow Requirements Baseline → SRS → impacted design/test artifacts.</w:t>
      </w:r>
    </w:p>
    <w:p>
      <w:pPr>
        <w:pStyle w:val="Heading1"/>
      </w:pPr>
      <w:r>
        <w:t>7. Cold-start rule</w:t>
      </w:r>
    </w:p>
    <w:p>
      <w:pPr>
        <w:pStyle w:val="ListBullet"/>
      </w:pPr>
      <w:r>
        <w:t>A new AI/developer first reads Project Handover, Document Register, Requirements Baseline, SRS, Architecture and this governance specification.</w:t>
      </w:r>
    </w:p>
    <w:p>
      <w:pPr>
        <w:pStyle w:val="ListBullet"/>
      </w:pPr>
      <w:r>
        <w:t>Use latest approved artifacts rather than reconstructing chat history.</w:t>
      </w:r>
    </w:p>
    <w:p>
      <w:pPr>
        <w:pStyle w:val="ListBullet"/>
      </w:pPr>
      <w:r>
        <w:t>Do not invent or silently change requirements.</w:t>
      </w:r>
    </w:p>
    <w:p>
      <w:pPr>
        <w:pStyle w:val="ListBullet"/>
      </w:pPr>
      <w:r>
        <w:t>Record material new decisions in ADRs and daily records.</w:t>
      </w:r>
    </w:p>
    <w:p>
      <w:pPr>
        <w:pStyle w:val="Heading1"/>
      </w:pPr>
      <w:r>
        <w:t>8. Day-30/31 gate</w:t>
      </w:r>
    </w:p>
    <w:p>
      <w:pPr>
        <w:pStyle w:val="ListBullet"/>
      </w:pPr>
      <w:r>
        <w:t>Day 30 closes with production-readiness evidence, known limitations and recovery procedures.</w:t>
      </w:r>
    </w:p>
    <w:p>
      <w:pPr>
        <w:pStyle w:val="ListBullet"/>
      </w:pPr>
      <w:r>
        <w:t>Day 31 demonstrates all seven guaranteed scenarios.</w:t>
      </w:r>
    </w:p>
    <w:p>
      <w:pPr>
        <w:pStyle w:val="ListBullet"/>
      </w:pPr>
      <w:r>
        <w:t>Release/tag and CHANGELOG identify the delivered baseline.</w:t>
      </w:r>
    </w:p>
    <w:p>
      <w:pPr>
        <w:pStyle w:val="ListBullet"/>
      </w:pPr>
      <w:r>
        <w:t>Post-go-live issues are tracked separately.</w:t>
      </w:r>
    </w:p>
    <w:p>
      <w:pPr>
        <w:pStyle w:val="Heading1"/>
      </w:pPr>
      <w:r>
        <w:t>9. Acceptance</w:t>
      </w:r>
    </w:p>
    <w:p>
      <w:r>
        <w:t>The project can be reconstructed from GitHub and the controlled document set without relying on the original chat history. Material decisions and daily progress remain auditable.</w:t>
      </w:r>
    </w:p>
    <w:p>
      <w:pPr>
        <w:jc w:val="center"/>
      </w:pPr>
      <w:r>
        <w:rPr>
          <w:b/>
        </w:rPr>
        <w:t>END OF ENGINEERING GOVERNANCE, ADR &amp; DAILY RECORD SPECIFICATION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