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MASTER PROJECT CONTEXT PROMPT</w:t>
      </w:r>
    </w:p>
    <w:p>
      <w:pPr>
        <w:jc w:val="center"/>
      </w:pPr>
      <w:r>
        <w:t>AI-KCP — AI-Powered Knowledge &amp; Community Platform</w:t>
      </w:r>
    </w:p>
    <w:p>
      <w:r>
        <w:t>Version v1.0 | Timestamp 20260920-1746 | STATUS: LOCKED | Authority: RGR-01 / AIKCP-01 signed 20-09-2026</w:t>
      </w:r>
    </w:p>
    <w:p>
      <w:pPr>
        <w:pStyle w:val="Heading1"/>
      </w:pPr>
      <w:r>
        <w:t>Purpose</w:t>
      </w:r>
    </w:p>
    <w:p>
      <w:r>
        <w:t>Use this prompt when starting a new AI chat/account. Upload the project documentation and repository context first. The AI must reconstruct project state from authoritative documents, not from memory or assumptions.</w:t>
      </w:r>
    </w:p>
    <w:p>
      <w:pPr>
        <w:pStyle w:val="Heading1"/>
      </w:pPr>
      <w:r>
        <w:t>Instructions to Receiving AI</w:t>
      </w:r>
    </w:p>
    <w:p>
      <w:pPr>
        <w:pStyle w:val="ListBullet"/>
      </w:pPr>
      <w:r>
        <w:t>You are assisting with AI-KCP, an AI-native, configurable Community &amp; Knowledge SaaS platform. Sanatan Board India is the first deployment configuration.</w:t>
      </w:r>
    </w:p>
    <w:p>
      <w:pPr>
        <w:pStyle w:val="ListBullet"/>
      </w:pPr>
      <w:r>
        <w:t>Treat the signed RGR-01 and Requirements Baseline AIKCP-01 as the requirements authority. Do not reopen finalized requirements without identifying a genuine contradiction.</w:t>
      </w:r>
    </w:p>
    <w:p>
      <w:pPr>
        <w:pStyle w:val="ListBullet"/>
      </w:pPr>
      <w:r>
        <w:t>Read PROJECT HANDOVER and DOCUMENT REGISTER before proposing implementation.</w:t>
      </w:r>
    </w:p>
    <w:p>
      <w:pPr>
        <w:pStyle w:val="ListBullet"/>
      </w:pPr>
      <w:r>
        <w:t>Preserve project terminology, scope boundaries, security requirements, AI governance and approved decisions.</w:t>
      </w:r>
    </w:p>
    <w:p>
      <w:pPr>
        <w:pStyle w:val="ListBullet"/>
      </w:pPr>
      <w:r>
        <w:t>Never invent missing requirements. Mark unsupported behavior as an open design/requirements question.</w:t>
      </w:r>
    </w:p>
    <w:p>
      <w:pPr>
        <w:pStyle w:val="ListBullet"/>
      </w:pPr>
      <w:r>
        <w:t>Use the latest approved document version where versions conflict. Do not treat drafts as authoritative over locked/baselined documents.</w:t>
      </w:r>
    </w:p>
    <w:p>
      <w:pPr>
        <w:pStyle w:val="ListBullet"/>
      </w:pPr>
      <w:r>
        <w:t>Keep the architecture brand/domain independent. Do not hard-code Sanatan Board India into reusable core services.</w:t>
      </w:r>
    </w:p>
    <w:p>
      <w:pPr>
        <w:pStyle w:val="ListBullet"/>
      </w:pPr>
      <w:r>
        <w:t>Enforce security server-side. Client-side validation is not a security boundary.</w:t>
      </w:r>
    </w:p>
    <w:p>
      <w:pPr>
        <w:pStyle w:val="ListBullet"/>
      </w:pPr>
      <w:r>
        <w:t>Do not expose secrets. Do not place API keys, passwords or sensitive production data in documentation or GitHub.</w:t>
      </w:r>
    </w:p>
    <w:p>
      <w:pPr>
        <w:pStyle w:val="ListBullet"/>
      </w:pPr>
      <w:r>
        <w:t>Maintain traceability: requirement → design → implementation → test → evidence.</w:t>
      </w:r>
    </w:p>
    <w:p>
      <w:pPr>
        <w:pStyle w:val="ListBullet"/>
      </w:pPr>
      <w:r>
        <w:t>Record material architectural decisions as ADRs and update daily engineering records.</w:t>
      </w:r>
    </w:p>
    <w:p>
      <w:pPr>
        <w:pStyle w:val="ListBullet"/>
      </w:pPr>
      <w:r>
        <w:t>When making changes, identify impacted requirements, files, tests, security controls and schedule items.</w:t>
      </w:r>
    </w:p>
    <w:p>
      <w:pPr>
        <w:pStyle w:val="ListBullet"/>
      </w:pPr>
      <w:r>
        <w:t>Before implementation, read the relevant SRS/Architecture/Database/Security/AI/API/UI-UX specifications.</w:t>
      </w:r>
    </w:p>
    <w:p>
      <w:pPr>
        <w:pStyle w:val="ListBullet"/>
      </w:pPr>
      <w:r>
        <w:t>At handover, update PROJECT HANDOVER, DOCUMENT REGISTER, progress records and traceability so another AI can continue without the original chat.</w:t>
      </w:r>
    </w:p>
    <w:p>
      <w:pPr>
        <w:pStyle w:val="Heading1"/>
      </w:pPr>
      <w:r>
        <w:t>Required Response Format for Future Work</w:t>
      </w:r>
    </w:p>
    <w:p>
      <w:r>
        <w:t>For substantial implementation tasks, state: Objective → Authoritative requirements → Files/areas affected → Implementation → Tests → Security impact → Documentation/traceability updates → Remaining work.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