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MASTER TIMELINE</w:t>
      </w:r>
    </w:p>
    <w:p>
      <w:pPr>
        <w:jc w:val="center"/>
      </w:pPr>
      <w:r>
        <w:t>AI-KCP — AI-Powered Knowledge &amp; Community Platform</w:t>
      </w:r>
    </w:p>
    <w:p>
      <w:r>
        <w:t>Version v1.0 | Timestamp 20260920-1746 | STATUS: LOCKED | Authority: RGR-01 / AIKCP-01 signed 20-09-2026</w:t>
      </w:r>
    </w:p>
    <w:p>
      <w:pPr>
        <w:pStyle w:val="Heading1"/>
      </w:pPr>
      <w:r>
        <w:t>1. Scheduling Basis</w:t>
      </w:r>
    </w:p>
    <w:p>
      <w:r>
        <w:t>The approved delivery model is a 30-day engineering plan with Day 31 production/live readiness. This schedule is intentionally expressed as project days rather than calendar dates so it remains valid if the implementation start date changes.</w:t>
      </w:r>
    </w:p>
    <w:p>
      <w:pPr>
        <w:pStyle w:val="Heading1"/>
      </w:pPr>
      <w:r>
        <w:t>2. 30-Day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Days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Primary outputs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1–5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Foundation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Repo/GitHub, project setup, configuration, Supabase integration, base security, core shell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6–10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Core Community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Auth, profiles, questions, answers, articles, comments, reactions, reports, notifications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11–14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AI Core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Provider abstraction, prompt registry, moderation, classification, summarization, AI logging/evaluation foundation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15–18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Editorial &amp; Board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Current Affairs, source ingestion/provenance, Sanatan Board DB migration, multilingual/translation lifecycle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19–21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Community Expansion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Bookmarks/history, contributor workflow, moderation operations, notifications and common content services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22–24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Discovery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Global search, semantic/vector search, AI recommendations, related content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25–26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Media/Future-proofing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Media handling, embeds, upload limits, mobile-ready/API boundaries, future configuration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27–28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Admin/Security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Admin centre, RBAC/RLS hardening, audit, analytics, legal pages, observability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Integration Testing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End-to-end journeys, security validation, AI evaluation, defect correction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Production Readiness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CI/CD, release checks, rollback/recovery, documentation, traceability, final acceptance rehearsal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Go-Live / Demo</w:t>
            </w:r>
          </w:p>
        </w:tc>
        <w:tc>
          <w:tcPr>
            <w:tcW w:type="dxa" w:w="3360"/>
          </w:tcPr>
          <w:p>
            <w:r>
              <w:rPr>
                <w:b w:val="0"/>
                <w:sz w:val="17"/>
              </w:rPr>
              <w:t>Production release and guaranteed portfolio demonstrations</w:t>
            </w:r>
          </w:p>
        </w:tc>
      </w:tr>
    </w:tbl>
    <w:p>
      <w:pPr>
        <w:pStyle w:val="Heading1"/>
      </w:pPr>
      <w:r>
        <w:t>3. Schedule Control</w:t>
      </w:r>
    </w:p>
    <w:p>
      <w:pPr>
        <w:pStyle w:val="ListBullet"/>
      </w:pPr>
      <w:r>
        <w:t>Any scope change is assessed against the Day-31 demonstrations.</w:t>
      </w:r>
    </w:p>
    <w:p>
      <w:pPr>
        <w:pStyle w:val="ListBullet"/>
      </w:pPr>
      <w:r>
        <w:t>Security and requirements work cannot be bypassed to preserve schedule.</w:t>
      </w:r>
    </w:p>
    <w:p>
      <w:pPr>
        <w:pStyle w:val="ListBullet"/>
      </w:pPr>
      <w:r>
        <w:t>Daily engineering records capture actual progress versus plan.</w:t>
      </w:r>
    </w:p>
    <w:p>
      <w:pPr>
        <w:pStyle w:val="ListBullet"/>
      </w:pPr>
      <w:r>
        <w:t>A schedule slip is recorded as an issue/risk with impact and recovery action rather than hidden.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