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PHASE-0 COMPLETION &amp; BASELINE RECORD</w:t>
      </w:r>
    </w:p>
    <w:p>
      <w:pPr>
        <w:jc w:val="center"/>
      </w:pPr>
      <w:r>
        <w:t>AI-KCP — AI-Powered Knowledge &amp; Community Platform</w:t>
      </w:r>
    </w:p>
    <w:p>
      <w:r>
        <w:t>Version v1.0 | Timestamp 20260920-1746 | STATUS: LOCKED | Authority: RGR-01 / AIKCP-01 signed 20-09-2026</w:t>
      </w:r>
    </w:p>
    <w:p>
      <w:pPr>
        <w:pStyle w:val="Heading1"/>
      </w:pPr>
      <w:r>
        <w:t>1. Phase-0 Status</w:t>
      </w:r>
    </w:p>
    <w:p>
      <w:r>
        <w:t>Phase 0 — Project Definition &amp; Requirements Baseline: CLOSED.</w:t>
      </w:r>
    </w:p>
    <w:p>
      <w:pPr>
        <w:pStyle w:val="Heading1"/>
      </w:pPr>
      <w:r>
        <w:t>2. Completed Artifacts</w:t>
      </w:r>
    </w:p>
    <w:p>
      <w:pPr>
        <w:pStyle w:val="ListBullet"/>
      </w:pPr>
      <w:r>
        <w:t>Project Charter</w:t>
      </w:r>
    </w:p>
    <w:p>
      <w:pPr>
        <w:pStyle w:val="ListBullet"/>
      </w:pPr>
      <w:r>
        <w:t>Business Case</w:t>
      </w:r>
    </w:p>
    <w:p>
      <w:pPr>
        <w:pStyle w:val="ListBullet"/>
      </w:pPr>
      <w:r>
        <w:t>Scope Statement</w:t>
      </w:r>
    </w:p>
    <w:p>
      <w:pPr>
        <w:pStyle w:val="ListBullet"/>
      </w:pPr>
      <w:r>
        <w:t>Stakeholder Register</w:t>
      </w:r>
    </w:p>
    <w:p>
      <w:pPr>
        <w:pStyle w:val="ListBullet"/>
      </w:pPr>
      <w:r>
        <w:t>BRD</w:t>
      </w:r>
    </w:p>
    <w:p>
      <w:pPr>
        <w:pStyle w:val="ListBullet"/>
      </w:pPr>
      <w:r>
        <w:t>Requirements Baseline AIKCP-01</w:t>
      </w:r>
    </w:p>
    <w:p>
      <w:pPr>
        <w:pStyle w:val="ListBullet"/>
      </w:pPr>
      <w:r>
        <w:t>WBS</w:t>
      </w:r>
    </w:p>
    <w:p>
      <w:pPr>
        <w:pStyle w:val="ListBullet"/>
      </w:pPr>
      <w:r>
        <w:t>Master Timeline</w:t>
      </w:r>
    </w:p>
    <w:p>
      <w:pPr>
        <w:pStyle w:val="ListBullet"/>
      </w:pPr>
      <w:r>
        <w:t>RAID/Risk Register</w:t>
      </w:r>
    </w:p>
    <w:p>
      <w:pPr>
        <w:pStyle w:val="ListBullet"/>
      </w:pPr>
      <w:r>
        <w:t>Project Handover / Cold-Start Context</w:t>
      </w:r>
    </w:p>
    <w:p>
      <w:pPr>
        <w:pStyle w:val="ListBullet"/>
      </w:pPr>
      <w:r>
        <w:t>Document Register</w:t>
      </w:r>
    </w:p>
    <w:p>
      <w:pPr>
        <w:pStyle w:val="ListBullet"/>
      </w:pPr>
      <w:r>
        <w:t>Master Project Context Prompt</w:t>
      </w:r>
    </w:p>
    <w:p>
      <w:pPr>
        <w:pStyle w:val="ListBullet"/>
      </w:pPr>
      <w:r>
        <w:t>Signed RGR-01 source artifact</w:t>
      </w:r>
    </w:p>
    <w:p>
      <w:pPr>
        <w:pStyle w:val="Heading1"/>
      </w:pPr>
      <w:r>
        <w:t>3. Baseline Authority</w:t>
      </w:r>
    </w:p>
    <w:p>
      <w:r>
        <w:t>RGR-01 is signed by Product Owner Ashish dated 20-09-2026. Requirements Baseline ID: AIKCP-01.</w:t>
      </w:r>
    </w:p>
    <w:p>
      <w:pPr>
        <w:pStyle w:val="Heading1"/>
      </w:pPr>
      <w:r>
        <w:t>4. Phase-0 Exit Criteria</w:t>
      </w:r>
    </w:p>
    <w:p>
      <w:pPr>
        <w:pStyle w:val="ListBullet"/>
      </w:pPr>
      <w:r>
        <w:t>Business purpose documented.</w:t>
      </w:r>
    </w:p>
    <w:p>
      <w:pPr>
        <w:pStyle w:val="ListBullet"/>
      </w:pPr>
      <w:r>
        <w:t>Scope boundaries documented.</w:t>
      </w:r>
    </w:p>
    <w:p>
      <w:pPr>
        <w:pStyle w:val="ListBullet"/>
      </w:pPr>
      <w:r>
        <w:t>Stakeholders identified.</w:t>
      </w:r>
    </w:p>
    <w:p>
      <w:pPr>
        <w:pStyle w:val="ListBullet"/>
      </w:pPr>
      <w:r>
        <w:t>Approved requirements consolidated.</w:t>
      </w:r>
    </w:p>
    <w:p>
      <w:pPr>
        <w:pStyle w:val="ListBullet"/>
      </w:pPr>
      <w:r>
        <w:t>Work decomposition established.</w:t>
      </w:r>
    </w:p>
    <w:p>
      <w:pPr>
        <w:pStyle w:val="ListBullet"/>
      </w:pPr>
      <w:r>
        <w:t>30-day schedule established.</w:t>
      </w:r>
    </w:p>
    <w:p>
      <w:pPr>
        <w:pStyle w:val="ListBullet"/>
      </w:pPr>
      <w:r>
        <w:t>Risks/assumptions/dependencies captured.</w:t>
      </w:r>
    </w:p>
    <w:p>
      <w:pPr>
        <w:pStyle w:val="ListBullet"/>
      </w:pPr>
      <w:r>
        <w:t>Cold-start handover mechanism established.</w:t>
      </w:r>
    </w:p>
    <w:p>
      <w:pPr>
        <w:pStyle w:val="ListBullet"/>
      </w:pPr>
      <w:r>
        <w:t>Documentation index and AI context prompt established.</w:t>
      </w:r>
    </w:p>
    <w:p>
      <w:pPr>
        <w:pStyle w:val="ListBullet"/>
      </w:pPr>
      <w:r>
        <w:t>No unresolved requirements blocker carried forward from RGR-01.</w:t>
      </w:r>
    </w:p>
    <w:p>
      <w:pPr>
        <w:pStyle w:val="Heading1"/>
      </w:pPr>
      <w:r>
        <w:t>5. Next Phase</w:t>
      </w:r>
    </w:p>
    <w:p>
      <w:r>
        <w:t>Proceed directly to detailed system and solution specifications: SRS → Architecture → Database/ERD → Security → AI Specification → API → UI/UX → Test Plan → Traceability. Implementation proceeds after the required design baseline is established.</w:t>
      </w:r>
    </w:p>
    <w:p>
      <w:pPr>
        <w:pStyle w:val="Heading1"/>
      </w:pPr>
      <w:r>
        <w:t>6. Change Control</w:t>
      </w:r>
    </w:p>
    <w:p>
      <w:r>
        <w:t>Any material change after this closure must be documented, versioned and traceable. A new approved baseline supersedes the previous baseline; historical versions remain part of the project record.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