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PROJECT HANDOVER / COLD-START CONTEXT</w:t>
      </w:r>
    </w:p>
    <w:p>
      <w:pPr>
        <w:jc w:val="center"/>
      </w:pPr>
      <w:r>
        <w:t>AI-KCP — AI-Powered Knowledge &amp; Community Platform</w:t>
      </w:r>
    </w:p>
    <w:p>
      <w:r>
        <w:t>Version v1.0 | Timestamp 20260920-1746 | STATUS: LOCKED | Authority: RGR-01 / AIKCP-01 signed 20-09-2026</w:t>
      </w:r>
    </w:p>
    <w:p>
      <w:pPr>
        <w:pStyle w:val="Heading1"/>
      </w:pPr>
      <w:r>
        <w:t>1. Purpose</w:t>
      </w:r>
    </w:p>
    <w:p>
      <w:r>
        <w:t>This document is the starting point for any new developer or AI system that has no access to the original conversation. It describes how to reconstruct project context from the repository and authoritative artifacts.</w:t>
      </w:r>
    </w:p>
    <w:p>
      <w:pPr>
        <w:pStyle w:val="Heading1"/>
      </w:pPr>
      <w:r>
        <w:t>2. Start Here</w:t>
      </w:r>
    </w:p>
    <w:p>
      <w:pPr>
        <w:pStyle w:val="ListBullet"/>
      </w:pPr>
      <w:r>
        <w:t>Read this document.</w:t>
      </w:r>
    </w:p>
    <w:p>
      <w:pPr>
        <w:pStyle w:val="ListBullet"/>
      </w:pPr>
      <w:r>
        <w:t>Read DOCUMENT_REGISTER.md to locate authoritative artifacts.</w:t>
      </w:r>
    </w:p>
    <w:p>
      <w:pPr>
        <w:pStyle w:val="ListBullet"/>
      </w:pPr>
      <w:r>
        <w:t>Read Requirements Baseline AIKCP-01 and RGR-01.</w:t>
      </w:r>
    </w:p>
    <w:p>
      <w:pPr>
        <w:pStyle w:val="ListBullet"/>
      </w:pPr>
      <w:r>
        <w:t>Read BRD, SRS and Architecture before implementation changes.</w:t>
      </w:r>
    </w:p>
    <w:p>
      <w:pPr>
        <w:pStyle w:val="ListBullet"/>
      </w:pPr>
      <w:r>
        <w:t>Read latest Daily Engineering Record and Traceability Matrix to determine current progress.</w:t>
      </w:r>
    </w:p>
    <w:p>
      <w:pPr>
        <w:pStyle w:val="ListBullet"/>
      </w:pPr>
      <w:r>
        <w:t>Treat locked/baselined documents as authoritative unless a newer approved version exists.</w:t>
      </w:r>
    </w:p>
    <w:p>
      <w:pPr>
        <w:pStyle w:val="Heading1"/>
      </w:pPr>
      <w:r>
        <w:t>3. Project Identity</w:t>
      </w:r>
    </w:p>
    <w:p>
      <w:r>
        <w:t>AI-KCP — AI-Powered Knowledge &amp; Community Platform. Professional description: AI-native, configurable Community &amp; Knowledge SaaS platform. Sanatan Board India is the first deployment configuration, not the permanent architectural identity.</w:t>
      </w:r>
    </w:p>
    <w:p>
      <w:pPr>
        <w:pStyle w:val="Heading1"/>
      </w:pPr>
      <w:r>
        <w:t>4. Current Technology Baseline</w:t>
      </w:r>
    </w:p>
    <w:p>
      <w:r>
        <w:t>Frontend: React + Vite + TypeScript + Tailwind + Lucide. Backend/platform services: Supabase PostgreSQL, Auth, RLS and Storage. AI is accessed through a provider abstraction. Repository and engineering governance use GitHub.</w:t>
      </w:r>
    </w:p>
    <w:p>
      <w:pPr>
        <w:pStyle w:val="Heading1"/>
      </w:pPr>
      <w:r>
        <w:t>5. Current Requirements Authority</w:t>
      </w:r>
    </w:p>
    <w:p>
      <w:r>
        <w:t>RGR-01 signed by Product Owner Ashish on 20-09-2026; Requirements Baseline ID AIKCP-01. Do not reopen settled questions unless a contradiction is discovered.</w:t>
      </w:r>
    </w:p>
    <w:p>
      <w:pPr>
        <w:pStyle w:val="Heading1"/>
      </w:pPr>
      <w:r>
        <w:t>6. Critical Locked Decisions</w:t>
      </w:r>
    </w:p>
    <w:p>
      <w:pPr>
        <w:pStyle w:val="ListBullet"/>
      </w:pPr>
      <w:r>
        <w:t>User/Moderator/Admin are the security roles; Contributor is a profile/capability classification; no operational Editor role.</w:t>
      </w:r>
    </w:p>
    <w:p>
      <w:pPr>
        <w:pStyle w:val="ListBullet"/>
      </w:pPr>
      <w:r>
        <w:t>Email OTP is v1 authentication.</w:t>
      </w:r>
    </w:p>
    <w:p>
      <w:pPr>
        <w:pStyle w:val="ListBullet"/>
      </w:pPr>
      <w:r>
        <w:t>AI controls publication using ALLOW/FLAG/HOLD/BLOCK; human override is available/audited.</w:t>
      </w:r>
    </w:p>
    <w:p>
      <w:pPr>
        <w:pStyle w:val="ListBullet"/>
      </w:pPr>
      <w:r>
        <w:t>1 MB combined upload allowance, configurable.</w:t>
      </w:r>
    </w:p>
    <w:p>
      <w:pPr>
        <w:pStyle w:val="ListBullet"/>
      </w:pPr>
      <w:r>
        <w:t>Archive threshold X is configurable in Admin/company configuration DB.</w:t>
      </w:r>
    </w:p>
    <w:p>
      <w:pPr>
        <w:pStyle w:val="ListBullet"/>
      </w:pPr>
      <w:r>
        <w:t>Maximum preferred-language count X is configurable in Admin/company configuration DB.</w:t>
      </w:r>
    </w:p>
    <w:p>
      <w:pPr>
        <w:pStyle w:val="ListBullet"/>
      </w:pPr>
      <w:r>
        <w:t>All 22 Indian languages plus German are DB-configurable.</w:t>
      </w:r>
    </w:p>
    <w:p>
      <w:pPr>
        <w:pStyle w:val="ListBullet"/>
      </w:pPr>
      <w:r>
        <w:t>Original content is canonical; translations preserve originals and can become STALE.</w:t>
      </w:r>
    </w:p>
    <w:p>
      <w:pPr>
        <w:pStyle w:val="ListBullet"/>
      </w:pPr>
      <w:r>
        <w:t>In-app notifications are required; email notification is not required in v1.</w:t>
      </w:r>
    </w:p>
    <w:p>
      <w:pPr>
        <w:pStyle w:val="ListBullet"/>
      </w:pPr>
      <w:r>
        <w:t>Semantic/vector search and AI/vector recommendations are v1.</w:t>
      </w:r>
    </w:p>
    <w:p>
      <w:pPr>
        <w:pStyle w:val="ListBullet"/>
      </w:pPr>
      <w:r>
        <w:t>One Supabase project is used for v1 with strict logical separation and controls.</w:t>
      </w:r>
    </w:p>
    <w:p>
      <w:pPr>
        <w:pStyle w:val="ListBullet"/>
      </w:pPr>
      <w:r>
        <w:t>Native mobile app and paid WhatsApp/SMS are not v1 implementation scope.</w:t>
      </w:r>
    </w:p>
    <w:p>
      <w:pPr>
        <w:pStyle w:val="Heading1"/>
      </w:pPr>
      <w:r>
        <w:t>7. Implementation State at Phase-0 Closure</w:t>
      </w:r>
    </w:p>
    <w:p>
      <w:r>
        <w:t>Foundation work already exists in the working project: React/Vite/TypeScript frontend, Supabase client configuration, Supabase schema and routes, with homepage locked. RLS is enabled but policies remain an implementation task. Mock Current Affairs/news content must become DB-driven. See the latest progress record for exact code-level state.</w:t>
      </w:r>
    </w:p>
    <w:p>
      <w:pPr>
        <w:pStyle w:val="Heading1"/>
      </w:pPr>
      <w:r>
        <w:t>8. How to Continue</w:t>
      </w:r>
    </w:p>
    <w:p>
      <w:r>
        <w:t>Complete Phase-0 artifacts, then proceed to SRS and solution-design specifications. Do not redesign the locked homepage. Do not commit secrets. Record material decisions as ADRs and implementation progress daily.</w:t>
      </w:r>
    </w:p>
    <w:p>
      <w:pPr>
        <w:pStyle w:val="Heading1"/>
      </w:pPr>
      <w:r>
        <w:t>9. Cold-Start Rule</w:t>
      </w:r>
    </w:p>
    <w:p>
      <w:r>
        <w:t>A new AI must not infer missing requirements from assumptions or earlier chat history. If an authoritative artifact does not define a requested behavior, identify it as an open decision or implementation design question.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