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RAID / RISK REGISTER</w:t>
      </w:r>
    </w:p>
    <w:p>
      <w:pPr>
        <w:jc w:val="center"/>
      </w:pPr>
      <w:r>
        <w:t>AI-KCP — AI-Powered Knowledge &amp; Community Platform</w:t>
      </w:r>
    </w:p>
    <w:p>
      <w:r>
        <w:t>Version v1.0 | Timestamp 20260920-1746 | STATUS: LOCKED | Authority: RGR-01 / AIKCP-01 signed 20-09-2026</w:t>
      </w:r>
    </w:p>
    <w:p>
      <w:pPr>
        <w:pStyle w:val="Heading1"/>
      </w:pPr>
      <w:r>
        <w:t>1. Purpose</w:t>
      </w:r>
    </w:p>
    <w:p>
      <w:r>
        <w:t>Track material Risks, Assumptions, Issues and Dependencies affecting delivery. This register is a living project-control artifact; v1.0 captures the baseline known at Phase-0 closure.</w:t>
      </w:r>
    </w:p>
    <w:p>
      <w:pPr>
        <w:pStyle w:val="Heading1"/>
      </w:pPr>
      <w:r>
        <w:t>2.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Risk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Impact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Mitigation / Response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2016"/>
          </w:tcPr>
          <w:p>
            <w:r>
              <w:rPr>
                <w:b w:val="0"/>
                <w:sz w:val="17"/>
              </w:rPr>
              <w:t>R-01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Single Supabase project for v1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Environment separation and deployment mistakes could affect production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Strict config separation, migration discipline, feature flags, RLS, server-side enforcement; no security weakening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Accepted / Controlled</w:t>
            </w:r>
          </w:p>
        </w:tc>
      </w:tr>
      <w:tr>
        <w:tc>
          <w:tcPr>
            <w:tcW w:type="dxa" w:w="2016"/>
          </w:tcPr>
          <w:p>
            <w:r>
              <w:rPr>
                <w:b w:val="0"/>
                <w:sz w:val="17"/>
              </w:rPr>
              <w:t>R-02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AI provider/model availability or limits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AI workflows may fail or degrade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Provider abstraction, bounded responses, failure handling, logging, evaluation and fallback behavior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Open</w:t>
            </w:r>
          </w:p>
        </w:tc>
      </w:tr>
      <w:tr>
        <w:tc>
          <w:tcPr>
            <w:tcW w:type="dxa" w:w="2016"/>
          </w:tcPr>
          <w:p>
            <w:r>
              <w:rPr>
                <w:b w:val="0"/>
                <w:sz w:val="17"/>
              </w:rPr>
              <w:t>R-03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AI false positives/negatives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Incorrect moderation or classification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Versioned evaluation dataset, confidence/risk, human override, audit and metrics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Controlled</w:t>
            </w:r>
          </w:p>
        </w:tc>
      </w:tr>
      <w:tr>
        <w:tc>
          <w:tcPr>
            <w:tcW w:type="dxa" w:w="2016"/>
          </w:tcPr>
          <w:p>
            <w:r>
              <w:rPr>
                <w:b w:val="0"/>
                <w:sz w:val="17"/>
              </w:rPr>
              <w:t>R-04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Email OTP delivery limits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Authentication disruption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Provider abstraction and documented provider limits; monitor delivery/failure events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Open</w:t>
            </w:r>
          </w:p>
        </w:tc>
      </w:tr>
      <w:tr>
        <w:tc>
          <w:tcPr>
            <w:tcW w:type="dxa" w:w="2016"/>
          </w:tcPr>
          <w:p>
            <w:r>
              <w:rPr>
                <w:b w:val="0"/>
                <w:sz w:val="17"/>
              </w:rPr>
              <w:t>R-05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1 MB combined upload limit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Some media types may be operationally constrained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Configurable limit and external embeds/links where applicable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Accepted requirement</w:t>
            </w:r>
          </w:p>
        </w:tc>
      </w:tr>
      <w:tr>
        <w:tc>
          <w:tcPr>
            <w:tcW w:type="dxa" w:w="2016"/>
          </w:tcPr>
          <w:p>
            <w:r>
              <w:rPr>
                <w:b w:val="0"/>
                <w:sz w:val="17"/>
              </w:rPr>
              <w:t>R-06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30-day scope density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Integration or polish may be compressed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WBS, daily records, Day-31 acceptance criteria and scope control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Open</w:t>
            </w:r>
          </w:p>
        </w:tc>
      </w:tr>
      <w:tr>
        <w:tc>
          <w:tcPr>
            <w:tcW w:type="dxa" w:w="2016"/>
          </w:tcPr>
          <w:p>
            <w:r>
              <w:rPr>
                <w:b w:val="0"/>
                <w:sz w:val="17"/>
              </w:rPr>
              <w:t>R-07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Security bypass via client/tool manipulation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Unauthorized actions or data access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Server-side authorization, RLS, validation and security testing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Critical control</w:t>
            </w:r>
          </w:p>
        </w:tc>
      </w:tr>
      <w:tr>
        <w:tc>
          <w:tcPr>
            <w:tcW w:type="dxa" w:w="2016"/>
          </w:tcPr>
          <w:p>
            <w:r>
              <w:rPr>
                <w:b w:val="0"/>
                <w:sz w:val="17"/>
              </w:rPr>
              <w:t>R-08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Translation inaccuracies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Meaning/legal/context risk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Preserve original, label AI translation, stale-state lifecycle, allow source view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Controlled</w:t>
            </w:r>
          </w:p>
        </w:tc>
      </w:tr>
      <w:tr>
        <w:tc>
          <w:tcPr>
            <w:tcW w:type="dxa" w:w="2016"/>
          </w:tcPr>
          <w:p>
            <w:r>
              <w:rPr>
                <w:b w:val="0"/>
                <w:sz w:val="17"/>
              </w:rPr>
              <w:t>R-09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External source rights complaint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Content removal/legal handling may be required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Attribution/provenance, admin removal workflow and audit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Controlled</w:t>
            </w:r>
          </w:p>
        </w:tc>
      </w:tr>
      <w:tr>
        <w:tc>
          <w:tcPr>
            <w:tcW w:type="dxa" w:w="2016"/>
          </w:tcPr>
          <w:p>
            <w:r>
              <w:rPr>
                <w:b w:val="0"/>
                <w:sz w:val="17"/>
              </w:rPr>
              <w:t>R-10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Documentation drift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Future AI/developer may act on stale information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Document register, versions, baseline IDs, traceability and handover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Controlled</w:t>
            </w:r>
          </w:p>
        </w:tc>
      </w:tr>
    </w:tbl>
    <w:p>
      <w:pPr>
        <w:pStyle w:val="Heading1"/>
      </w:pPr>
      <w:r>
        <w:t>3. Assumptions</w:t>
      </w:r>
    </w:p>
    <w:p>
      <w:pPr>
        <w:pStyle w:val="ListBullet"/>
      </w:pPr>
      <w:r>
        <w:t>Supabase remains technically suitable for v1.</w:t>
      </w:r>
    </w:p>
    <w:p>
      <w:pPr>
        <w:pStyle w:val="ListBullet"/>
      </w:pPr>
      <w:r>
        <w:t>An email delivery mechanism available within the chosen operating constraints can support production OTP.</w:t>
      </w:r>
    </w:p>
    <w:p>
      <w:pPr>
        <w:pStyle w:val="ListBullet"/>
      </w:pPr>
      <w:r>
        <w:t>AI provider(s) expose sufficient capabilities for the mandatory AI scope or an abstraction can route supported operations.</w:t>
      </w:r>
    </w:p>
    <w:p>
      <w:pPr>
        <w:pStyle w:val="ListBullet"/>
      </w:pPr>
      <w:r>
        <w:t>GitHub is available for repository/CI/CD governance.</w:t>
      </w:r>
    </w:p>
    <w:p>
      <w:pPr>
        <w:pStyle w:val="Heading1"/>
      </w:pPr>
      <w:r>
        <w:t>4. Dependencies</w:t>
      </w:r>
    </w:p>
    <w:p>
      <w:pPr>
        <w:pStyle w:val="ListBullet"/>
      </w:pPr>
      <w:r>
        <w:t>Supabase Auth/Postgres/Storage and RLS</w:t>
      </w:r>
    </w:p>
    <w:p>
      <w:pPr>
        <w:pStyle w:val="ListBullet"/>
      </w:pPr>
      <w:r>
        <w:t>AI provider(s) and model APIs</w:t>
      </w:r>
    </w:p>
    <w:p>
      <w:pPr>
        <w:pStyle w:val="ListBullet"/>
      </w:pPr>
      <w:r>
        <w:t>Email delivery/SMTP capability</w:t>
      </w:r>
    </w:p>
    <w:p>
      <w:pPr>
        <w:pStyle w:val="ListBullet"/>
      </w:pPr>
      <w:r>
        <w:t>GitHub and CI environment</w:t>
      </w:r>
    </w:p>
    <w:p>
      <w:pPr>
        <w:pStyle w:val="ListBullet"/>
      </w:pPr>
      <w:r>
        <w:t>Approved external Current Affairs sources</w:t>
      </w:r>
    </w:p>
    <w:p>
      <w:pPr>
        <w:pStyle w:val="ListBullet"/>
      </w:pPr>
      <w:r>
        <w:t>Hostinger/domain deployment for the Sanatan Board India deployment</w:t>
      </w:r>
    </w:p>
    <w:p>
      <w:pPr>
        <w:pStyle w:val="Heading1"/>
      </w:pPr>
      <w:r>
        <w:t>5. Issues at Baseline</w:t>
      </w:r>
    </w:p>
    <w:p>
      <w:r>
        <w:t>No unresolved requirements issue is carried forward from RGR-01. Implementation-level defects are to be recorded separately in the project issue tracker.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