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REQUIREMENTS BASELINE</w:t>
      </w:r>
    </w:p>
    <w:p>
      <w:pPr>
        <w:jc w:val="center"/>
      </w:pPr>
      <w:r>
        <w:t>AI-KCP — AI-Powered Knowledge &amp; Community Platform</w:t>
      </w:r>
    </w:p>
    <w:p>
      <w:r>
        <w:t>Version v1.0 | Timestamp 20260920-1746 | STATUS: LOCKED | Authority: RGR-01 / AIKCP-01 signed 20-09-2026</w:t>
      </w:r>
    </w:p>
    <w:p>
      <w:pPr>
        <w:pStyle w:val="Heading1"/>
      </w:pPr>
      <w:r>
        <w:t>1. Baseline Identity</w:t>
      </w:r>
    </w:p>
    <w:p>
      <w:r>
        <w:t>Baseline ID: AIKCP-01 | Source: RGR-01 | Product Owner approval: Ashish | Approval date: 20-09-2026</w:t>
      </w:r>
    </w:p>
    <w:p>
      <w:pPr>
        <w:pStyle w:val="Heading1"/>
      </w:pPr>
      <w:r>
        <w:t>2. Baseline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Baseline Requirement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R-01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Platform configuration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Core application shall be configuration-driven for brand/domain, branding, languages, navigation, modules, taxonomy, terminology, contact/social/legal data and feature flags.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R-02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Profiles/lifecycle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Public profile fields: display name, username, profile URL, avatar, bio. Location, languages, expertise/interests, contribution history and contributor profile are optional. Privacy settings are private.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R-03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Account lifecycle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Deactivate hides data without deletion; permanent deletion hides data and deletes contribution data while profile data remains in DB; return requires reverification and restores deactivated data.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R-04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Roles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Security roles are User, Moderator and Admin. Contributor is a profile/capability classification, not an elevated security role. No operational human Editor role is required.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R-05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Contributor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Dedicated contributor application captures previous experience, activity on the application, achievements, and why/how the person will contribute. Invitations have no single-use/expiry requirement; type/assignment may be optional.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R-06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Content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Questions, answers, articles, Current Affairs and Board content share common services where appropriate: comments, reactions, bookmarks, reports, moderation, translations, versions, source attribution and notifications.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R-07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Moderation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AI controls publication using ALLOW/FLAG/HOLD/BLOCK semantics; passed content may publish without human approval; human override is available and audited.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R-08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Version/archive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Backend retains version and change summary for important content; only Admin can view. Articles below configurable SMALLINT view threshold X during prior six months move to archive.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R-09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Rights/media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Externally sourced material is permitted subject to applicable rights/attribution handling; Admin can remove after rights complaint/concern. Supported media include images, documents/PDF, audio, uploaded video, external video embeds and social links. Combined uploaded-file limit is configurable at 1 MB.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R-10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Email OTP is v1 baseline; provider abstraction permits future methods.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R-11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OTP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8 digits; 10-minute expiry; 2-minute resend cooldown; max 4 attempts; max 4 requests/hour/day; 15-minute lockout; dev/test OTP unrestricted; production delivery subject to actual provider limits.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R-12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Contribution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Verified users register immediately but begin restricted. First 15 days: max 2 articles, 5 responses, 10 comments, 10 replies/day. Enforcement is server-side; Admin can restrict/suspend/block/unrestrict.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R-13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Protect against OTP abuse, brute force, spam, XSS, injection, IDOR, privilege escalation, malicious uploads, API abuse, prompt injection, AI data leakage, scraping/automation abuse and RLS bypass. Client/tool bypass must not defeat server validation.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R-14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Legal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Privacy, Terms, Community Guidelines, Content Policy, Copyright/IP, Reporting/Takedown, Account Deletion, Data Retention and Cookie/Analytics policies/processes are required.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R-15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All AI capabilities identified in RGR-01 are mandatory for v1.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R-16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AI governance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Use provider abstraction, structured outputs, confidence/risk, source attribution, prompt-injection controls, malicious-content controls, failure handling, human override, AI labeling, sensitive-data controls and auditability.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R-17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AI evaluation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Versioned dataset and metrics for accuracy, false positives/negatives, overrides, prompt/model versions, latency and token/cost usage where available.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R-18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Prompts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Important prompts are version-controlled in GitHub and linked to operations.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R-19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Languages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All 22 Indian languages plus German; catalogue is DB-driven. Per-user preferred-language maximum X is configurable in Admin/company configuration.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R-20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Translation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Original is canonical; translations reference source version, are labeled AI translations where applicable, and become STALE when source changes. Original is never overwritten.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R-21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Community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Comments/replies/reactions/reports and moderation supported; social graph remains future scope.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R-22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In-app required; email not required; push/WhatsApp future.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R-23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Global search with required filters; semantic/vector retrieval included in v1; recommendations start AI/vector-based.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R-24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Current Affairs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Approved-source ingestion, duplicate detection, AI classification/summary, review/publication. Trusted sources may auto-publish after required checks.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R-25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Provenance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Retain source URL/name, original publication timestamp, ingestion timestamp, author/byline where available, source language and attribution.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R-26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Admin/audit/analytics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Admin configuration without code; all specified admin events audited; all platform and AI analytics listed in RGR-01 are mandatory.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R-27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Future payments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No payment gateway v1; architecture permits configurable UPI/QR/instructions/other future methods.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R-28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Quality/ops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WCAG-oriented accessibility; fast mobile load, pagination, lazy loading, indexed queries, optimized images, bounded AI response; dev/test/staging/prod logical controls despite one Supabase project; DB backups, migration rollback, configuration backup and GitHub recovery; observability.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R-29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Engineering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GitHub Day 1, daily commits/pushes, meaningful messages, issues, milestones, labels, branches, PRs, CI, releases/tags, changelog and security/dependency checks. All project documentation/prompts/ADRs/diagrams/test plans/evaluation data/results/daily records belong in GitHub excluding secrets/sensitive data.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R-30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Portfolio/future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Public AI/Engineering Showcase may expose architecture/pipelines/evaluation/engineering decisions without secrets/private prompts. QR/device and WhatsApp/phone are future options; mobile architecture-ready but no app v1; no other future modules currently specified.</w:t>
            </w:r>
          </w:p>
        </w:tc>
      </w:tr>
    </w:tbl>
    <w:p>
      <w:pPr>
        <w:pStyle w:val="Heading1"/>
      </w:pPr>
      <w:r>
        <w:t>3. Baseline Rule</w:t>
      </w:r>
    </w:p>
    <w:p>
      <w:r>
        <w:t>This baseline is the authoritative requirements summary derived from the signed RGR-01. Any material change requires a controlled change record and updated version.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