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REQUIREMENTS TRACEABILITY MATRIX</w:t>
      </w:r>
    </w:p>
    <w:p>
      <w:pPr>
        <w:jc w:val="center"/>
      </w:pPr>
      <w:r>
        <w:rPr>
          <w:b/>
        </w:rPr>
        <w:t>AI-KCP — AI-Powered Knowledge &amp; Community Platform</w:t>
        <w:br/>
      </w:r>
      <w:r>
        <w:rPr>
          <w:b/>
        </w:rPr>
        <w:t>Document ID: AIKCP-D22 | Version 1.0 | 20 September 2026 | Baseline</w:t>
      </w:r>
    </w:p>
    <w:p>
      <w:pPr>
        <w:pStyle w:val="Heading1"/>
      </w:pPr>
      <w:r>
        <w:t>1. Purpose</w:t>
      </w:r>
    </w:p>
    <w:p>
      <w:r>
        <w:t>Provides bidirectional traceability from RGR-01 and the SRS through architecture, implementation, tests and Day-31 acceptance evidence.</w:t>
      </w:r>
    </w:p>
    <w:p>
      <w:pPr>
        <w:pStyle w:val="Heading1"/>
      </w:pPr>
      <w:r>
        <w:t>2. Requirement domains</w:t>
      </w:r>
    </w:p>
    <w:p>
      <w:pPr>
        <w:pStyle w:val="ListBullet"/>
      </w:pPr>
      <w:r>
        <w:t>RGR-01-01–12 → configuration, identity, content, rights and media.</w:t>
      </w:r>
    </w:p>
    <w:p>
      <w:pPr>
        <w:pStyle w:val="ListBullet"/>
      </w:pPr>
      <w:r>
        <w:t>RGR-01-13–18 → authentication, lifecycle, roles, security and legal.</w:t>
      </w:r>
    </w:p>
    <w:p>
      <w:pPr>
        <w:pStyle w:val="ListBullet"/>
      </w:pPr>
      <w:r>
        <w:t>RGR-01-19–24 → AI governance, evaluation, prompts and multilingual/translation.</w:t>
      </w:r>
    </w:p>
    <w:p>
      <w:pPr>
        <w:pStyle w:val="ListBullet"/>
      </w:pPr>
      <w:r>
        <w:t>RGR-01-25–31 → community, notifications, bookmarks, search, semantic search and recommendations.</w:t>
      </w:r>
    </w:p>
    <w:p>
      <w:pPr>
        <w:pStyle w:val="ListBullet"/>
      </w:pPr>
      <w:r>
        <w:t>RGR-01-32–33 → Current Affairs ingestion and provenance.</w:t>
      </w:r>
    </w:p>
    <w:p>
      <w:pPr>
        <w:pStyle w:val="ListBullet"/>
      </w:pPr>
      <w:r>
        <w:t>RGR-01-34–36 → admin configuration, audit and analytics.</w:t>
      </w:r>
    </w:p>
    <w:p>
      <w:pPr>
        <w:pStyle w:val="ListBullet"/>
      </w:pPr>
      <w:r>
        <w:t>RGR-01-37–42 → quality, environment, backup and observability.</w:t>
      </w:r>
    </w:p>
    <w:p>
      <w:pPr>
        <w:pStyle w:val="ListBullet"/>
      </w:pPr>
      <w:r>
        <w:t>RGR-01-43–47 → GitHub, documentation, showcase and Day-31 readiness.</w:t>
      </w:r>
    </w:p>
    <w:p>
      <w:pPr>
        <w:pStyle w:val="ListBullet"/>
      </w:pPr>
      <w:r>
        <w:t>RGR-01-48–51 → future authentication, mobile readiness and future scope.</w:t>
      </w:r>
    </w:p>
    <w:p>
      <w:pPr>
        <w:pStyle w:val="Heading1"/>
      </w:pPr>
      <w:r>
        <w:t>3. Required traceability chain</w:t>
      </w:r>
    </w:p>
    <w:p>
      <w:pPr>
        <w:pStyle w:val="ListBullet"/>
      </w:pPr>
      <w:r>
        <w:t>Requirement → SRS requirement → Architecture component → DB/API/UI/AI artifact → Test case → Test result → Day record → Release/tag.</w:t>
      </w:r>
    </w:p>
    <w:p>
      <w:pPr>
        <w:pStyle w:val="ListBullet"/>
      </w:pPr>
      <w:r>
        <w:t>Requirement changes identify impacted artifacts and tests.</w:t>
      </w:r>
    </w:p>
    <w:p>
      <w:pPr>
        <w:pStyle w:val="ListBullet"/>
      </w:pPr>
      <w:r>
        <w:t>Behavior-changing implementation changes identify affected requirements.</w:t>
      </w:r>
    </w:p>
    <w:p>
      <w:pPr>
        <w:pStyle w:val="Heading1"/>
      </w:pPr>
      <w:r>
        <w:t>4. Status vocabulary</w:t>
      </w:r>
    </w:p>
    <w:p>
      <w:pPr>
        <w:pStyle w:val="ListBullet"/>
      </w:pPr>
      <w:r>
        <w:t>Not Started</w:t>
      </w:r>
    </w:p>
    <w:p>
      <w:pPr>
        <w:pStyle w:val="ListBullet"/>
      </w:pPr>
      <w:r>
        <w:t>In Design</w:t>
      </w:r>
    </w:p>
    <w:p>
      <w:pPr>
        <w:pStyle w:val="ListBullet"/>
      </w:pPr>
      <w:r>
        <w:t>In Development</w:t>
      </w:r>
    </w:p>
    <w:p>
      <w:pPr>
        <w:pStyle w:val="ListBullet"/>
      </w:pPr>
      <w:r>
        <w:t>Implemented</w:t>
      </w:r>
    </w:p>
    <w:p>
      <w:pPr>
        <w:pStyle w:val="ListBullet"/>
      </w:pPr>
      <w:r>
        <w:t>Tested</w:t>
      </w:r>
    </w:p>
    <w:p>
      <w:pPr>
        <w:pStyle w:val="ListBullet"/>
      </w:pPr>
      <w:r>
        <w:t>Accepted</w:t>
      </w:r>
    </w:p>
    <w:p>
      <w:pPr>
        <w:pStyle w:val="ListBullet"/>
      </w:pPr>
      <w:r>
        <w:t>Deferred/Future Scope</w:t>
      </w:r>
    </w:p>
    <w:p>
      <w:pPr>
        <w:pStyle w:val="ListBullet"/>
      </w:pPr>
      <w:r>
        <w:t>Blocked</w:t>
      </w:r>
    </w:p>
    <w:p>
      <w:pPr>
        <w:pStyle w:val="Heading1"/>
      </w:pPr>
      <w:r>
        <w:t>5. Governance</w:t>
      </w:r>
    </w:p>
    <w:p>
      <w:pPr>
        <w:pStyle w:val="ListBullet"/>
      </w:pPr>
      <w:r>
        <w:t>Requirements Baseline/RGR-01 is authoritative for approved behavior.</w:t>
      </w:r>
    </w:p>
    <w:p>
      <w:pPr>
        <w:pStyle w:val="ListBullet"/>
      </w:pPr>
      <w:r>
        <w:t>SRS is the implementable functional baseline.</w:t>
      </w:r>
    </w:p>
    <w:p>
      <w:pPr>
        <w:pStyle w:val="ListBullet"/>
      </w:pPr>
      <w:r>
        <w:t>Architecture defines technical boundaries.</w:t>
      </w:r>
    </w:p>
    <w:p>
      <w:pPr>
        <w:pStyle w:val="ListBullet"/>
      </w:pPr>
      <w:r>
        <w:t>Test results provide objective evidence.</w:t>
      </w:r>
    </w:p>
    <w:p>
      <w:pPr>
        <w:pStyle w:val="ListBullet"/>
      </w:pPr>
      <w:r>
        <w:t>ADRs explain material technical decisions or deviations.</w:t>
      </w:r>
    </w:p>
    <w:p>
      <w:pPr>
        <w:pStyle w:val="Heading1"/>
      </w:pPr>
      <w:r>
        <w:t>6. Acceptance</w:t>
      </w:r>
    </w:p>
    <w:p>
      <w:r>
        <w:t>Every approved v1 requirement is mapped to at least one implementation/design artifact and one verification path before Day-30 production readiness.</w:t>
      </w:r>
    </w:p>
    <w:p>
      <w:pPr>
        <w:jc w:val="center"/>
      </w:pPr>
      <w:r>
        <w:rPr>
          <w:b/>
        </w:rPr>
        <w:t>END OF REQUIREMENTS TRACEABILITY MATRIX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