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WORK BREAKDOWN STRUCTURE (WBS)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WBS Objective</w:t>
      </w:r>
    </w:p>
    <w:p>
      <w:r>
        <w:t>Decompose the approved AI-KCP v1 scope into executable work packages.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WBS ID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Work Package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Deliverables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Project governance &amp; baseline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Charter, BC, scope, BRD, baseline, registers, handover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Repo, React/Vite/TS, Tailwind, Supabase integration, configuration foundation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Identity &amp; access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Email OTP, profiles, lifecycle, RBAC/RLS, contribution limits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Community &amp; content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Questions, answers, articles, comments, replies, reactions, reports, bookmarks/history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Editorial &amp; Current Affairs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Board content, source ingestion, provenance, deduplication, workflow, archive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6.0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 platform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Provider abstraction, prompts, moderation, classification, summarization, translation, related content, recommendations, assistant, AI analytics/evaluation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7.0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Global search, filters, semantic/vector search, recommendations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8.0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Admin &amp; operations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Configuration, users, moderation, reports, sources, audit, analytics, notifications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Media &amp; multilingual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Upload controls, external embeds, language catalogue, translation lifecycle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10.0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Security &amp; legal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Threat controls, server-side validation, privacy/legal pages, rights handling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11.0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Unit/integration/e2e, AI evaluation, accessibility, performance, security testing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12.0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DevOps &amp; deployment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GitHub workflow, CI/CD, observability, backup/rollback, production readiness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13.0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Portfolio &amp; handover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Showcase, daily records, traceability, final demo, handover and Day-31 release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