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Document Package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2026-05-05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01_Profit_and_Loss_Statement_2025.xlsx</w:t>
            </w:r>
          </w:p>
        </w:tc>
        <w:tc>
          <w:tcPr>
            <w:tcW w:type="dxa" w:w="5040"/>
            <w:vAlign w:val="center"/>
          </w:tcPr>
          <w:p>
            <w:r/>
            <w:r>
              <w:t>Full P&amp;L with both GAAP and tax-reclass columns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02_Balance_Sheet_2025.xlsx</w:t>
            </w:r>
          </w:p>
        </w:tc>
        <w:tc>
          <w:tcPr>
            <w:tcW w:type="dxa" w:w="5040"/>
            <w:vAlign w:val="center"/>
          </w:tcPr>
          <w:p>
            <w:r/>
            <w:r>
              <w:t>Best-effort balance sheet (placeholders flagged for accountant)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03_General_Ledger_2025.xlsx</w:t>
            </w:r>
          </w:p>
        </w:tc>
        <w:tc>
          <w:tcPr>
            <w:tcW w:type="dxa" w:w="5040"/>
            <w:vAlign w:val="center"/>
          </w:tcPr>
          <w:p>
            <w:r/>
            <w:r>
              <w:t>Transaction-level cash ledger, all 5 months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04_Asset_Schedule_2025.xlsx</w:t>
            </w:r>
          </w:p>
        </w:tc>
        <w:tc>
          <w:tcPr>
            <w:tcW w:type="dxa" w:w="5040"/>
            <w:vAlign w:val="center"/>
          </w:tcPr>
          <w:p>
            <w:r/>
            <w:r>
              <w:t>Fixed asset / depreciation schedule (none for 2025)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</w:p>
        </w:tc>
        <w:tc>
          <w:tcPr>
            <w:tcW w:type="dxa" w:w="5040"/>
            <w:vAlign w:val="center"/>
          </w:tcPr>
          <w:p>
            <w:r/>
            <w:r>
              <w:t>This document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Bonus</w:t>
            </w:r>
            <w:r>
              <w:t xml:space="preserve"> </w:t>
            </w:r>
            <w:r>
              <w:rPr>
                <w:rFonts w:ascii="Courier New" w:hAnsi="Courier New"/>
                <w:sz w:val="20"/>
              </w:rPr>
              <w:t>2025-armada-prime-tech-1099-k1.xlsx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workbook with monthly detail, 1099 list, K-1 allocation, reconciliation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GAAP-Basis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After Tax-Reclass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Direct Costs (1099 contractor commissions)</w:t>
            </w:r>
          </w:p>
        </w:tc>
        <w:tc>
          <w:tcPr>
            <w:tcW w:type="dxa" w:w="3360"/>
            <w:vAlign w:val="center"/>
          </w:tcPr>
          <w:p>
            <w:r/>
            <w:r>
              <w:t>($54,491.59)</w:t>
            </w:r>
          </w:p>
        </w:tc>
        <w:tc>
          <w:tcPr>
            <w:tcW w:type="dxa" w:w="3360"/>
            <w:vAlign w:val="center"/>
          </w:tcPr>
          <w:p>
            <w:r/>
            <w:r>
              <w:t>($54,491.59)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t>($91,225.00)</w:t>
            </w:r>
          </w:p>
        </w:tc>
        <w:tc>
          <w:tcPr>
            <w:tcW w:type="dxa" w:w="3360"/>
            <w:vAlign w:val="center"/>
          </w:tcPr>
          <w:p>
            <w:r/>
            <w:r>
              <w:t>($51,450.00)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Net Income (Partnership)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$7,306.44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$47,081.44</w:t>
            </w:r>
          </w:p>
        </w:tc>
      </w:tr>
    </w:tbl>
    <w:p/>
    <w:p>
      <w:r>
        <w:t xml:space="preserve">The GAAP→reclass swing is the </w:t>
      </w:r>
      <w:r>
        <w:rPr>
          <w:b/>
        </w:rPr>
        <w:t>$29,275 in 506c SPV Loans</w:t>
      </w:r>
      <w:r>
        <w:t xml:space="preserve"> (move to balance sheet as loan receivable / equity investment) and </w:t>
      </w:r>
      <w:r>
        <w:rPr>
          <w:b/>
        </w:rPr>
        <w:t>$10,500 in Insurance proration</w:t>
      </w:r>
      <w:r>
        <w:t xml:space="preserve"> (Dec $18K is annual D&amp;O — only 5/12 should hit 2025 P&amp;L, the rest is prepaid).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 Received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 (Reclass-Basis)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520"/>
            <w:vAlign w:val="center"/>
          </w:tcPr>
          <w:p>
            <w:r/>
            <w:r>
              <w:t>99.17% (60/60.5)</w:t>
            </w:r>
          </w:p>
        </w:tc>
        <w:tc>
          <w:tcPr>
            <w:tcW w:type="dxa" w:w="2520"/>
            <w:vAlign w:val="center"/>
          </w:tcPr>
          <w:p>
            <w:r/>
            <w:r>
              <w:t>$85,996.83</w:t>
            </w:r>
          </w:p>
        </w:tc>
        <w:tc>
          <w:tcPr>
            <w:tcW w:type="dxa" w:w="2520"/>
            <w:vAlign w:val="center"/>
          </w:tcPr>
          <w:p>
            <w:r/>
            <w:r>
              <w:t>$46,692.34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520"/>
            <w:vAlign w:val="center"/>
          </w:tcPr>
          <w:p>
            <w:r/>
            <w:r>
              <w:t>0.83% (0.5/60.5)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$389.10</w:t>
            </w:r>
          </w:p>
        </w:tc>
      </w:tr>
    </w:tbl>
    <w:p/>
    <w:p>
      <w:r>
        <w:t>Nairne's 60% = Fund Management 59.5% slice + direct 0.5%. The Fund Management slice is K-1 income to Nairne (NOT a separate entity expense / 1099). Raj's 0.5% direct slice is also K-1 income.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p>
      <w:r>
        <w:t>The following individuals/entities received contractor payments and need 1099-NECs: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Alec Atkinson</w:t>
            </w:r>
          </w:p>
        </w:tc>
        <w:tc>
          <w:tcPr>
            <w:tcW w:type="dxa" w:w="5040"/>
            <w:vAlign w:val="center"/>
          </w:tcPr>
          <w:p>
            <w:r/>
            <w:r>
              <w:t>$38,076.87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Jake Gordon</w:t>
            </w:r>
          </w:p>
        </w:tc>
        <w:tc>
          <w:tcPr>
            <w:tcW w:type="dxa" w:w="5040"/>
            <w:vAlign w:val="center"/>
          </w:tcPr>
          <w:p>
            <w:r/>
            <w:r>
              <w:t>$10,388.66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AJ Affleck</w:t>
            </w:r>
          </w:p>
        </w:tc>
        <w:tc>
          <w:tcPr>
            <w:tcW w:type="dxa" w:w="5040"/>
            <w:vAlign w:val="center"/>
          </w:tcPr>
          <w:p>
            <w:r/>
            <w:r>
              <w:t>$4,152.70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Phil (last name TBD)</w:t>
            </w:r>
          </w:p>
        </w:tc>
        <w:tc>
          <w:tcPr>
            <w:tcW w:type="dxa" w:w="5040"/>
            <w:vAlign w:val="center"/>
          </w:tcPr>
          <w:p>
            <w:r/>
            <w:r>
              <w:t>$946.97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Issac Morris</w:t>
            </w:r>
          </w:p>
        </w:tc>
        <w:tc>
          <w:tcPr>
            <w:tcW w:type="dxa" w:w="5040"/>
            <w:vAlign w:val="center"/>
          </w:tcPr>
          <w:p>
            <w:r/>
            <w:r>
              <w:t>$761.49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Luke Affleck</w:t>
            </w:r>
          </w:p>
        </w:tc>
        <w:tc>
          <w:tcPr>
            <w:tcW w:type="dxa" w:w="5040"/>
            <w:vAlign w:val="center"/>
          </w:tcPr>
          <w:p>
            <w:r/>
            <w:r>
              <w:t>$164.90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Chris (operating contractor)</w:t>
            </w:r>
          </w:p>
        </w:tc>
        <w:tc>
          <w:tcPr>
            <w:tcW w:type="dxa" w:w="5040"/>
            <w:vAlign w:val="center"/>
          </w:tcPr>
          <w:p>
            <w:r/>
            <w:r>
              <w:t>$11,500.00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Total 1099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$65,991.59</w:t>
            </w:r>
          </w:p>
        </w:tc>
      </w:tr>
    </w:tbl>
    <w:p/>
    <w:p>
      <w:r>
        <w:t>Note: Chris's $11,500 (Nov $7,500 + Dec $4,000) is in Operating Expenses on the P&amp;L, not Direct Costs. Still requires a 1099-NEC.</w:t>
      </w:r>
    </w:p>
    <w:p>
      <w:r>
        <w:t>Recipients' SSN/EIN + addresses need to be collected separately.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 Amount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Reclass-Adjusted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 Reason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Insurance</w:t>
            </w:r>
          </w:p>
        </w:tc>
        <w:tc>
          <w:tcPr>
            <w:tcW w:type="dxa" w:w="2520"/>
            <w:vAlign w:val="center"/>
          </w:tcPr>
          <w:p>
            <w:r/>
            <w:r>
              <w:t>$18,000.00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Annual D&amp;O policy → pro-rate to 5/12 of year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PVD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Website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Ad Spend / Marketing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TPA Admin Fees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(may overlap fund-level admin)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506c SPV Loan</w:t>
            </w:r>
          </w:p>
        </w:tc>
        <w:tc>
          <w:tcPr>
            <w:tcW w:type="dxa" w:w="2520"/>
            <w:vAlign w:val="center"/>
          </w:tcPr>
          <w:p>
            <w:r/>
            <w:r>
              <w:t>$29,275.00</w:t>
            </w:r>
          </w:p>
        </w:tc>
        <w:tc>
          <w:tcPr>
            <w:tcW w:type="dxa" w:w="2520"/>
            <w:vAlign w:val="center"/>
          </w:tcPr>
          <w:p>
            <w:r/>
            <w:r>
              <w:t>$0.00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MOVE TO BALANCE SHEET (loan/capital)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$91,225.00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$51,450.00</w:t>
            </w:r>
          </w:p>
        </w:tc>
        <w:tc>
          <w:tcPr>
            <w:tcW w:type="dxa" w:w="2520"/>
            <w:vAlign w:val="center"/>
          </w:tcPr>
          <w:p>
            <w:r/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 &amp; Source Documents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This is the gross GP cut earned by Armada Prime Tech LLC from Armada Prime LLP</w:t>
      </w:r>
    </w:p>
    <w:p>
      <w:pPr>
        <w:pStyle w:val="ListBullet"/>
      </w:pPr>
      <w:r>
        <w:t>TruQuant's 18% upstream cut (and the August "Trader &amp; Developer" / "Spydr" amounts paid inside the GP entity in August only) are EXCLUDED — these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in each month</w:t>
      </w:r>
    </w:p>
    <w:p>
      <w:pPr>
        <w:pStyle w:val="ListBullet"/>
      </w:pPr>
      <w:r>
        <w:t>Per-recipient amounts are NET (already after weighted costs / Coinbase fees applied at the disbursement layer)</w:t>
      </w:r>
    </w:p>
    <w:p>
      <w:pPr>
        <w:pStyle w:val="Heading2"/>
      </w:pPr>
      <w:r>
        <w:t>Operating Expenses</w:t>
      </w:r>
    </w:p>
    <w:p>
      <w:pPr>
        <w:pStyle w:val="ListBullet"/>
      </w:pPr>
      <w:r>
        <w:t>Source: "Costs" sections of each month's Distributions ledger (Aug–Nov) plus "BEST ONE of December 2025 Monthly Return.xlsx" Costs tab (Dec)</w:t>
      </w:r>
    </w:p>
    <w:p>
      <w:pPr>
        <w:pStyle w:val="Heading2"/>
      </w:pPr>
      <w:r>
        <w:t>Member Structure</w:t>
      </w:r>
    </w:p>
    <w:p>
      <w:pPr>
        <w:pStyle w:val="ListBullet"/>
      </w:pPr>
      <w:r>
        <w:t>Confirmed by the user on 2026-04-30</w:t>
      </w:r>
    </w:p>
    <w:p>
      <w:pPr>
        <w:pStyle w:val="ListBullet"/>
      </w:pPr>
      <w:r>
        <w:t>Nairne owns 60% (= Fund Mgmt 59.5% + direct 0.5%); Raj owns 0.5%</w:t>
      </w:r>
    </w:p>
    <w:p>
      <w:pPr>
        <w:pStyle w:val="ListBullet"/>
      </w:pPr>
      <w:r>
        <w:t>Phil's 0.5% slice is a 1099 payment, not a member allocation (Phil is not an LLC member; Phil was replaced by Alec as an equity-holding GP in April 2026, but for 2025 Phil received a 1099)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/ Certificate of Formation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 and Raj (for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Phil, Issac, Luke, Chris, plus any vendors crossing the $600 threshold (PVD, Ad Spend providers)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— what each member contributed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 — this determines whether to use the Distributions ledger (cash) or the TPA-derived totals (accrual). The two views differ by ~$11,587 across the year.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if any crypto wallets/exchanges used qualify as "foreign financial accounts" for FBAR/Form 8938 purposes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$29,275 in SPV disbursements is a loan (interest-bearing?) or an equity investment, for proper balance sheet classification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the $18K Dec Insurance is annual D&amp;O coverage for accountant to book the prepaid asset correctly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Tax Organizer Form Answers</w:t>
      </w:r>
    </w:p>
    <w:p>
      <w:r>
        <w:t>For the Monily Partnership Tax Organizer, here are the answers I can provide: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Answer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Legal name of business</w:t>
            </w:r>
          </w:p>
        </w:tc>
        <w:tc>
          <w:tcPr>
            <w:tcW w:type="dxa" w:w="5040"/>
            <w:vAlign w:val="center"/>
          </w:tcPr>
          <w:p>
            <w:r/>
            <w:r>
              <w:t>Armada Prime Tech LLC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Filing for the year</w:t>
            </w:r>
          </w:p>
        </w:tc>
        <w:tc>
          <w:tcPr>
            <w:tcW w:type="dxa" w:w="5040"/>
            <w:vAlign w:val="center"/>
          </w:tcPr>
          <w:p>
            <w:r/>
            <w:r>
              <w:t>2025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EIN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(need from user)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Phone Number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(need from user)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Email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(need from user)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Corporation address / State / City / Zip / Country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(need from user)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Above address is new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 it first year of Filing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Partnership state residence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(need from user — likely state of formation)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EIN letter</w:t>
            </w:r>
          </w:p>
        </w:tc>
        <w:tc>
          <w:tcPr>
            <w:tcW w:type="dxa" w:w="5040"/>
            <w:vAlign w:val="center"/>
          </w:tcPr>
          <w:p>
            <w:r/>
            <w:r>
              <w:t>Yes (need to upload)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Letter of Incorporation</w:t>
            </w:r>
          </w:p>
        </w:tc>
        <w:tc>
          <w:tcPr>
            <w:tcW w:type="dxa" w:w="5040"/>
            <w:vAlign w:val="center"/>
          </w:tcPr>
          <w:p>
            <w:r/>
            <w:r>
              <w:t>Yes (need to upload)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Profit &amp; Loss Statement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  <w:r>
              <w:t xml:space="preserve"> — see </w:t>
            </w:r>
            <w:r>
              <w:rPr>
                <w:rFonts w:ascii="Courier New" w:hAnsi="Courier New"/>
                <w:sz w:val="20"/>
              </w:rPr>
              <w:t>01_Profit_and_Loss_Statement_2025.xlsx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Balance Sheet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Partial</w:t>
            </w:r>
            <w:r>
              <w:t xml:space="preserve"> — see </w:t>
            </w:r>
            <w:r>
              <w:rPr>
                <w:rFonts w:ascii="Courier New" w:hAnsi="Courier New"/>
                <w:sz w:val="20"/>
              </w:rPr>
              <w:t>02_Balance_Sheet_2025.xlsx</w:t>
            </w:r>
            <w:r>
              <w:t xml:space="preserve"> (placeholders flagged)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General Ledgers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  <w:r>
              <w:t xml:space="preserve"> — see </w:t>
            </w:r>
            <w:r>
              <w:rPr>
                <w:rFonts w:ascii="Courier New" w:hAnsi="Courier New"/>
                <w:sz w:val="20"/>
              </w:rPr>
              <w:t>03_General_Ledger_2025.xlsx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Asset Schedule Template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  <w:r>
              <w:t xml:space="preserve"> (no fixed assets) — see </w:t>
            </w:r>
            <w:r>
              <w:rPr>
                <w:rFonts w:ascii="Courier New" w:hAnsi="Courier New"/>
                <w:sz w:val="20"/>
              </w:rPr>
              <w:t>04_Asset_Schedule_2025.xlsx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Payroll Report and Filings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N/A</w:t>
            </w:r>
            <w:r>
              <w:t xml:space="preserve"> — no W-2 employees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Last Filed Tax Year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No</w:t>
            </w:r>
            <w:r>
              <w:t xml:space="preserve"> (first year)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Sales Tax Filings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N/A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Estimated State Tax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No</w:t>
            </w:r>
            <w:r>
              <w:t xml:space="preserve"> </w:t>
            </w:r>
            <w:r>
              <w:rPr>
                <w:i/>
              </w:rPr>
              <w:t>(unless made — confirm)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First time filing with Monily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  <w:r>
              <w:t xml:space="preserve"> </w:t>
            </w:r>
            <w:r>
              <w:rPr>
                <w:i/>
              </w:rPr>
              <w:t>(assumed)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Number of Share Holders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2</w:t>
            </w:r>
            <w:r>
              <w:t xml:space="preserve"> (Nairne + Raj Duggal)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Change of business name during year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Calendar year filer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Yes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Foreign account interest/signature authority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i/>
              </w:rPr>
              <w:t>(verify — depends on crypto exchange custody)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Any shareholder a disregarded entity / trust / S-corp</w:t>
            </w:r>
          </w:p>
        </w:tc>
        <w:tc>
          <w:tcPr>
            <w:tcW w:type="dxa" w:w="5040"/>
            <w:vAlign w:val="center"/>
          </w:tcPr>
          <w:p>
            <w:r/>
            <w:r>
              <w:t>No (members are individuals — confirm)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Owns 20%+ of foreign/domestic corp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Outstanding restricted stock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Outstanding stock options/warrants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Distribution of property or transfer of shareholder interest</w:t>
            </w:r>
          </w:p>
        </w:tc>
        <w:tc>
          <w:tcPr>
            <w:tcW w:type="dxa" w:w="5040"/>
            <w:vAlign w:val="center"/>
          </w:tcPr>
          <w:p>
            <w:r/>
            <w:r>
              <w:t>No (Phil → Alec was 2026, not 2025)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Accessibility expenses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FICA on tips</w:t>
            </w:r>
          </w:p>
        </w:tc>
        <w:tc>
          <w:tcPr>
            <w:tcW w:type="dxa" w:w="5040"/>
            <w:vAlign w:val="center"/>
          </w:tcPr>
          <w:p>
            <w:r/>
            <w:r>
              <w:t>No (no W-2 employees)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Low-income housing rentals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R&amp;D expenditures</w:t>
            </w:r>
          </w:p>
        </w:tc>
        <w:tc>
          <w:tcPr>
            <w:tcW w:type="dxa" w:w="5040"/>
            <w:vAlign w:val="center"/>
          </w:tcPr>
          <w:p>
            <w:r/>
            <w:r>
              <w:t>No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</w:r>
    </w:p>
    <w:p>
      <w:r>
        <w:t xml:space="preserve">Source data is pulled from </w:t>
      </w:r>
      <w:r>
        <w:rPr>
          <w:rFonts w:ascii="Courier New" w:hAnsi="Courier New"/>
          <w:sz w:val="20"/>
        </w:rPr>
        <w:t>tools/build_2025_year_end.py</w:t>
      </w:r>
      <w:r>
        <w:t xml:space="preserve"> (which pulls from TPA reports + internal Distributions ledger).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