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" w:line="276" w:lineRule="auto"/>
      </w:pPr>
      <w:r>
        <w:rPr>
          <w:rFonts w:ascii="Liberation Serif" w:hAnsi="Liberation Serif" w:eastAsia="Liberation Serif"/>
          <w:b/>
          <w:sz w:val="24"/>
        </w:rPr>
        <w:t>Progress report 3 of 10</w:t>
      </w:r>
    </w:p>
    <w:p>
      <w:pPr>
        <w:spacing w:after="4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LLM-Guided Neural Network Compilation for Real-time UAV Edge Inference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Atul Kumar Gupta  ·  25MCSS06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/>
          <w:sz w:val="32"/>
        </w:rPr>
        <w:t>A tiny network proves the rewrite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Report 2 said an engine rewrites the graph.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This note shows one rewrite, on a network small enough to inspect by hand.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fixture is one image of size 1×1×8×8. Flatten turns that map into 64 values. The Gemm that follows must use width 64. Width 16 is kept as a test that must fail.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pass graph_fuse joins Conv and Relu. On ONNX Runtime for the CPU, the Relu node disappears and a FusedConv node remains. That change is in the graph itself.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Both facts are locked by tests. A Gemm width of 16 must not be treated as a successful compile. graph_fuse on this fixture must leave one FusedConv and no Relu.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1943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u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0"/>
        </w:rPr>
        <w:t>Figure 1. Conv and Relu become one FusedConv. The Flatten width stays 64.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rewrite is visible on this fixture. The next note runs the same commands on the networks a companion computer uses.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