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" w:line="276" w:lineRule="auto"/>
      </w:pPr>
      <w:r>
        <w:rPr>
          <w:rFonts w:ascii="Liberation Serif" w:hAnsi="Liberation Serif" w:eastAsia="Liberation Serif"/>
          <w:b/>
          <w:sz w:val="24"/>
        </w:rPr>
        <w:t>Thesis progress report</w:t>
      </w:r>
    </w:p>
    <w:p>
      <w:pPr>
        <w:spacing w:after="4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LLM-Guided Neural Network Compilation for Real-time UAV Edge Inference</w:t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Atul Kumar Gupta  ·  25MCSS06</w:t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/>
          <w:sz w:val="32"/>
        </w:rPr>
        <w:t>A page that runs the loop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Compile, check, and measure were separate commands. They are the same functions here, called from one page on this machine.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page shows the host, the graph notes, the plan and its attempts, the ranking, a table across the seven models, and a fresh timing of the chosen file. The operator picks a host and a model id. If the key is missing, the page says key not set. It does not ask for the key.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seven ONNX files are stored in experiments/models.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page listens only on this machine, at 127.0.0.1. One job runs at a time. If the console process is down, the buttons become usable again and the bar says the console is not reachable. Analyze, plan, optimize, export, and a remeasure of the chosen file all call the same Python functions as the command line.</w:t>
      </w:r>
    </w:p>
    <w:p>
      <w:r>
        <w:drawing>
          <wp:inline xmlns:a="http://schemas.openxmlformats.org/drawingml/2006/main" xmlns:pic="http://schemas.openxmlformats.org/drawingml/2006/picture">
            <wp:extent cx="5303520" cy="62677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267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 w:val="0"/>
          <w:sz w:val="20"/>
        </w:rPr>
        <w:t>Figure 1. The page is those five bands, in that order.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loop can be run and shown without reading raw logs. What the thesis is allowed to claim is a separate statement.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 w:eastAsia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