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 w:line="276" w:lineRule="auto"/>
      </w:pPr>
      <w:r>
        <w:rPr>
          <w:rFonts w:ascii="Liberation Serif" w:hAnsi="Liberation Serif" w:eastAsia="Liberation Serif"/>
          <w:b/>
          <w:sz w:val="24"/>
        </w:rPr>
        <w:t>Thesis progress report</w:t>
      </w:r>
    </w:p>
    <w:p>
      <w:pPr>
        <w:spacing w:after="4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LLM-Guided Neural Network Compilation for Real-time UAV Edge Inference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Atul Kumar Gupta  ·  25MCSS06</w:t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/>
          <w:sz w:val="32"/>
        </w:rPr>
        <w:t>The language model may only name a plan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companion computer still needs a compile recipe. The question here is who may choose it.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Asked to make a network fast, a language model will name passes that do not exist, and it will quote a speed it never measured. Either mistake is enough to make the result unusable in a thesis. A quoted frame rate that was not timed is not a result. A pass with no implementation is not a compiler.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model is therefore limited to one job. It may name a plan, and the plan must be taken from a fixed list. It may not edit the ONNX file. It may not fly the aircraft. Three other parts do the rest. A checker accepts the plan or cuts it. An engine rewrites the graph. A profiler measures time and compares the new outputs with the untouched network.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plan arrives as JSON and is checked before any rewrite. If the reply contains a made-up speed, that phrase is removed. Every stored run records that no frame rate was claimed. The separation is the research claim of this step: the model proposes, and only the measured run is evidence.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tempting design was to let the model rewrite ONNX, or to let it pick TensorRT settings in free text. A trial prompt did what free text always does: it named a SiLU fusion that this CPU cannot run, and it offered a frame rate. That single trial killed the free-text design. The fixed list is not a lack of ambition. It is the only way a later table can say what was tried.</w:t>
      </w:r>
    </w:p>
    <w:p>
      <w:r>
        <w:drawing>
          <wp:inline xmlns:a="http://schemas.openxmlformats.org/drawingml/2006/main" xmlns:pic="http://schemas.openxmlformats.org/drawingml/2006/picture">
            <wp:extent cx="5303520" cy="674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u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4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40" w:line="276" w:lineRule="auto"/>
      </w:pPr>
      <w:r>
        <w:rPr>
          <w:rFonts w:ascii="Liberation Serif" w:hAnsi="Liberation Serif" w:eastAsia="Liberation Serif"/>
          <w:b w:val="0"/>
          <w:sz w:val="20"/>
        </w:rPr>
        <w:t>Figure 1. Suggest, check, rewrite, then measure. The model stops at the first box.</w:t>
      </w:r>
    </w:p>
    <w:p>
      <w:pPr>
        <w:spacing w:after="160" w:before="40" w:line="276" w:lineRule="auto"/>
      </w:pPr>
      <w:r>
        <w:rPr>
          <w:rFonts w:ascii="Liberation Serif" w:hAnsi="Liberation Serif" w:eastAsia="Liberation Serif"/>
          <w:b w:val="0"/>
          <w:sz w:val="24"/>
        </w:rPr>
        <w:t>The model is the planner. Whether the rewrite actually changes a graph is a separate question.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