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shd w:val="clear" w:color="auto" w:fill="FFFFFF"/>
        <w:tblCellMar>
          <w:left w:w="0" w:type="dxa"/>
          <w:right w:w="0" w:type="dxa"/>
        </w:tblCellMar>
        <w:tblLook w:val="04A0" w:firstRow="1" w:lastRow="0" w:firstColumn="1" w:lastColumn="0" w:noHBand="0" w:noVBand="1"/>
      </w:tblPr>
      <w:tblGrid>
        <w:gridCol w:w="7635"/>
      </w:tblGrid>
      <w:tr w:rsidR="00830839" w:rsidRPr="00830839" w14:paraId="0326D630" w14:textId="77777777" w:rsidTr="00830839">
        <w:tc>
          <w:tcPr>
            <w:tcW w:w="0" w:type="auto"/>
            <w:shd w:val="clear" w:color="auto" w:fill="FFFFFF"/>
            <w:vAlign w:val="center"/>
            <w:hideMark/>
          </w:tcPr>
          <w:p w14:paraId="5E587900" w14:textId="77777777" w:rsidR="00830839" w:rsidRPr="00830839" w:rsidRDefault="00830839" w:rsidP="00830839">
            <w:pPr>
              <w:spacing w:after="0" w:line="240" w:lineRule="auto"/>
              <w:rPr>
                <w:rFonts w:ascii="Arial" w:eastAsia="Times New Roman" w:hAnsi="Arial" w:cs="Arial"/>
                <w:color w:val="000000"/>
                <w:sz w:val="20"/>
                <w:szCs w:val="20"/>
              </w:rPr>
            </w:pPr>
            <w:r w:rsidRPr="00830839">
              <w:rPr>
                <w:rFonts w:ascii="Arial" w:eastAsia="Times New Roman" w:hAnsi="Arial" w:cs="Arial"/>
                <w:color w:val="009A49"/>
                <w:sz w:val="30"/>
                <w:szCs w:val="30"/>
              </w:rPr>
              <w:t>Auto Respond Project Named Runner Up for Third Quarter Golden Trash Can Award</w:t>
            </w:r>
          </w:p>
        </w:tc>
      </w:tr>
      <w:tr w:rsidR="00830839" w:rsidRPr="00830839" w14:paraId="09F308AB" w14:textId="77777777" w:rsidTr="00830839">
        <w:tc>
          <w:tcPr>
            <w:tcW w:w="7635" w:type="dxa"/>
            <w:shd w:val="clear" w:color="auto" w:fill="FFFFFF"/>
            <w:vAlign w:val="center"/>
            <w:hideMark/>
          </w:tcPr>
          <w:p w14:paraId="03F3931B" w14:textId="25F33C1C" w:rsidR="00830839" w:rsidRPr="00830839" w:rsidRDefault="00830839" w:rsidP="00830839">
            <w:pPr>
              <w:spacing w:after="240" w:line="240" w:lineRule="auto"/>
              <w:rPr>
                <w:rFonts w:ascii="Times New Roman" w:eastAsia="Times New Roman" w:hAnsi="Times New Roman" w:cs="Times New Roman"/>
                <w:sz w:val="24"/>
                <w:szCs w:val="24"/>
              </w:rPr>
            </w:pPr>
            <w:r w:rsidRPr="00830839">
              <w:rPr>
                <w:rFonts w:ascii="Arial" w:eastAsia="Times New Roman" w:hAnsi="Arial" w:cs="Arial"/>
                <w:color w:val="000000"/>
                <w:sz w:val="20"/>
                <w:szCs w:val="20"/>
                <w:u w:val="single"/>
              </w:rPr>
              <w:t>Posted 12-9-13</w:t>
            </w:r>
            <w:r w:rsidRPr="00830839">
              <w:rPr>
                <w:rFonts w:ascii="Arial" w:eastAsia="Times New Roman" w:hAnsi="Arial" w:cs="Arial"/>
                <w:color w:val="000000"/>
                <w:sz w:val="20"/>
                <w:szCs w:val="20"/>
              </w:rPr>
              <w:br/>
              <w:t>Grange and Integrity have always had their own dedicated email boxes for Commercial Lines agents to send in application-related information. The process, however, did not have an automated response capability so Grange often didn’t respond while Integrity manually responded. </w:t>
            </w:r>
            <w:r w:rsidRPr="00830839">
              <w:rPr>
                <w:rFonts w:ascii="Arial" w:eastAsia="Times New Roman" w:hAnsi="Arial" w:cs="Arial"/>
                <w:color w:val="000000"/>
                <w:sz w:val="20"/>
                <w:szCs w:val="20"/>
              </w:rPr>
              <w:br/>
            </w:r>
            <w:r w:rsidRPr="00830839">
              <w:rPr>
                <w:rFonts w:ascii="Arial" w:eastAsia="Times New Roman" w:hAnsi="Arial" w:cs="Arial"/>
                <w:color w:val="000000"/>
                <w:sz w:val="20"/>
                <w:szCs w:val="20"/>
              </w:rPr>
              <w:br/>
              <w:t>As a result, Grange and Integrity Commercial Lines and IT joined forces in the second and third quarter of this year to implement an automatic response capability letting the agents know their emails were received. </w:t>
            </w:r>
            <w:r w:rsidRPr="00830839">
              <w:rPr>
                <w:rFonts w:ascii="Arial" w:eastAsia="Times New Roman" w:hAnsi="Arial" w:cs="Arial"/>
                <w:color w:val="000000"/>
                <w:sz w:val="20"/>
                <w:szCs w:val="20"/>
              </w:rPr>
              <w:br/>
            </w:r>
            <w:r w:rsidRPr="00830839">
              <w:rPr>
                <w:rFonts w:ascii="Arial" w:eastAsia="Times New Roman" w:hAnsi="Arial" w:cs="Arial"/>
                <w:color w:val="000000"/>
                <w:sz w:val="20"/>
                <w:szCs w:val="20"/>
              </w:rPr>
              <w:br/>
              <w:t>This has improved service, saved 22.5 hours in time per year that can now be spent on other activities and warranted unsolicited kudos from our Agent Advisory Board. And, because results have been positive, both Grange and Integrity are investigating how to use Auto Respond on several other CL mailboxes that are believed to have higher volumes. </w:t>
            </w:r>
            <w:r w:rsidRPr="00830839">
              <w:rPr>
                <w:rFonts w:ascii="Arial" w:eastAsia="Times New Roman" w:hAnsi="Arial" w:cs="Arial"/>
                <w:color w:val="000000"/>
                <w:sz w:val="20"/>
                <w:szCs w:val="20"/>
              </w:rPr>
              <w:br/>
            </w:r>
            <w:r w:rsidRPr="00830839">
              <w:rPr>
                <w:rFonts w:ascii="Arial" w:eastAsia="Times New Roman" w:hAnsi="Arial" w:cs="Arial"/>
                <w:color w:val="000000"/>
                <w:sz w:val="20"/>
                <w:szCs w:val="20"/>
              </w:rPr>
              <w:br/>
              <w:t>Congratulation to the entire team! Pictured (l-r) are </w:t>
            </w:r>
            <w:r w:rsidRPr="00830839">
              <w:rPr>
                <w:rFonts w:ascii="Arial" w:eastAsia="Times New Roman" w:hAnsi="Arial" w:cs="Arial"/>
                <w:b/>
                <w:bCs/>
                <w:color w:val="000000"/>
                <w:sz w:val="20"/>
                <w:szCs w:val="20"/>
              </w:rPr>
              <w:t>Todd McDonald, Phil Blower, Deb Collett</w:t>
            </w:r>
            <w:r w:rsidRPr="00830839">
              <w:rPr>
                <w:rFonts w:ascii="Arial" w:eastAsia="Times New Roman" w:hAnsi="Arial" w:cs="Arial"/>
                <w:color w:val="000000"/>
                <w:sz w:val="20"/>
                <w:szCs w:val="20"/>
              </w:rPr>
              <w:t xml:space="preserve"> and </w:t>
            </w:r>
            <w:r w:rsidRPr="00830839">
              <w:rPr>
                <w:rFonts w:ascii="Arial" w:eastAsia="Times New Roman" w:hAnsi="Arial" w:cs="Arial"/>
                <w:b/>
                <w:bCs/>
                <w:color w:val="000000"/>
                <w:sz w:val="20"/>
                <w:szCs w:val="20"/>
              </w:rPr>
              <w:t>Brian Smith</w:t>
            </w:r>
            <w:r w:rsidRPr="00830839">
              <w:rPr>
                <w:rFonts w:ascii="Arial" w:eastAsia="Times New Roman" w:hAnsi="Arial" w:cs="Arial"/>
                <w:color w:val="000000"/>
                <w:sz w:val="20"/>
                <w:szCs w:val="20"/>
              </w:rPr>
              <w:t>. Not pictured is </w:t>
            </w:r>
            <w:r w:rsidRPr="00830839">
              <w:rPr>
                <w:rFonts w:ascii="Arial" w:eastAsia="Times New Roman" w:hAnsi="Arial" w:cs="Arial"/>
                <w:b/>
                <w:bCs/>
                <w:color w:val="000000"/>
                <w:sz w:val="20"/>
                <w:szCs w:val="20"/>
              </w:rPr>
              <w:t>Cheryl Manz</w:t>
            </w:r>
            <w:r w:rsidRPr="00830839">
              <w:rPr>
                <w:rFonts w:ascii="Arial" w:eastAsia="Times New Roman" w:hAnsi="Arial" w:cs="Arial"/>
                <w:color w:val="000000"/>
                <w:sz w:val="20"/>
                <w:szCs w:val="20"/>
              </w:rPr>
              <w:t> from Integrity. </w:t>
            </w:r>
            <w:r w:rsidRPr="00830839">
              <w:rPr>
                <w:rFonts w:ascii="Arial" w:eastAsia="Times New Roman" w:hAnsi="Arial" w:cs="Arial"/>
                <w:color w:val="000000"/>
                <w:sz w:val="20"/>
                <w:szCs w:val="20"/>
              </w:rPr>
              <w:br/>
            </w:r>
            <w:r w:rsidRPr="00830839">
              <w:rPr>
                <w:rFonts w:ascii="Arial" w:eastAsia="Times New Roman" w:hAnsi="Arial" w:cs="Arial"/>
                <w:color w:val="000000"/>
                <w:sz w:val="20"/>
                <w:szCs w:val="20"/>
              </w:rPr>
              <w:br/>
              <w:t>If your g</w:t>
            </w:r>
            <w:bookmarkStart w:id="0" w:name="_GoBack"/>
            <w:bookmarkEnd w:id="0"/>
            <w:r w:rsidRPr="00830839">
              <w:rPr>
                <w:rFonts w:ascii="Arial" w:eastAsia="Times New Roman" w:hAnsi="Arial" w:cs="Arial"/>
                <w:color w:val="000000"/>
                <w:sz w:val="20"/>
                <w:szCs w:val="20"/>
              </w:rPr>
              <w:t>roup has a continuous improvement project to submit or questions about the program, please contact </w:t>
            </w:r>
            <w:hyperlink r:id="rId4" w:history="1">
              <w:r w:rsidRPr="00830839">
                <w:rPr>
                  <w:rFonts w:ascii="Arial" w:eastAsia="Times New Roman" w:hAnsi="Arial" w:cs="Arial"/>
                  <w:b/>
                  <w:bCs/>
                  <w:color w:val="CF7A30"/>
                  <w:sz w:val="20"/>
                  <w:szCs w:val="20"/>
                  <w:u w:val="single"/>
                </w:rPr>
                <w:t>Amy Tomaszewski</w:t>
              </w:r>
            </w:hyperlink>
            <w:r w:rsidRPr="00830839">
              <w:rPr>
                <w:rFonts w:ascii="Arial" w:eastAsia="Times New Roman" w:hAnsi="Arial" w:cs="Arial"/>
                <w:color w:val="000000"/>
                <w:sz w:val="20"/>
                <w:szCs w:val="20"/>
              </w:rPr>
              <w:t>.</w:t>
            </w:r>
          </w:p>
          <w:p w14:paraId="325F37F9" w14:textId="77777777" w:rsidR="00830839" w:rsidRPr="00830839" w:rsidRDefault="00830839" w:rsidP="00830839">
            <w:pPr>
              <w:spacing w:before="100" w:beforeAutospacing="1" w:after="100" w:afterAutospacing="1" w:line="240" w:lineRule="auto"/>
              <w:jc w:val="center"/>
              <w:rPr>
                <w:rFonts w:ascii="Times New Roman" w:eastAsia="Times New Roman" w:hAnsi="Times New Roman" w:cs="Times New Roman"/>
                <w:sz w:val="24"/>
                <w:szCs w:val="24"/>
              </w:rPr>
            </w:pPr>
            <w:r w:rsidRPr="00830839">
              <w:rPr>
                <w:rFonts w:ascii="Arial" w:eastAsia="Times New Roman" w:hAnsi="Arial" w:cs="Arial"/>
                <w:noProof/>
                <w:color w:val="000000"/>
                <w:sz w:val="20"/>
                <w:szCs w:val="20"/>
              </w:rPr>
              <w:drawing>
                <wp:inline distT="0" distB="0" distL="0" distR="0" wp14:anchorId="225322A3" wp14:editId="6A648A33">
                  <wp:extent cx="2600325" cy="2238375"/>
                  <wp:effectExtent l="0" t="0" r="9525" b="9525"/>
                  <wp:docPr id="1" name="Picture 1" descr="http://grangetoday/conMan/Images/Misc/IMG_0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rangetoday/conMan/Images/Misc/IMG_0376.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0325" cy="2238375"/>
                          </a:xfrm>
                          <a:prstGeom prst="rect">
                            <a:avLst/>
                          </a:prstGeom>
                          <a:noFill/>
                          <a:ln>
                            <a:noFill/>
                          </a:ln>
                        </pic:spPr>
                      </pic:pic>
                    </a:graphicData>
                  </a:graphic>
                </wp:inline>
              </w:drawing>
            </w:r>
          </w:p>
        </w:tc>
      </w:tr>
    </w:tbl>
    <w:p w14:paraId="4BA03BB5" w14:textId="77777777" w:rsidR="00747B2A" w:rsidRDefault="00606690"/>
    <w:sectPr w:rsidR="00747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839"/>
    <w:rsid w:val="004D7CC8"/>
    <w:rsid w:val="00606690"/>
    <w:rsid w:val="00830839"/>
    <w:rsid w:val="00853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C2E37"/>
  <w15:chartTrackingRefBased/>
  <w15:docId w15:val="{536F0A83-E226-49DE-BEE8-59906DCB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77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mailto:Tomaszewskia@grangeinsura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191</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Grange</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Brian  (IT)</dc:creator>
  <cp:keywords/>
  <dc:description/>
  <cp:lastModifiedBy>Brian Smith</cp:lastModifiedBy>
  <cp:revision>2</cp:revision>
  <dcterms:created xsi:type="dcterms:W3CDTF">2013-12-09T12:25:00Z</dcterms:created>
  <dcterms:modified xsi:type="dcterms:W3CDTF">2016-06-01T14:07:00Z</dcterms:modified>
</cp:coreProperties>
</file>