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page_5.png</w:t>
      </w:r>
    </w:p>
    <w:p>
      <w:pPr>
        <w:spacing w:after="120"/>
      </w:pPr>
      <w:r>
        <w:t>Sốl No.:</w:t>
      </w:r>
    </w:p>
    <w:p>
      <w:pPr>
        <w:spacing w:after="120"/>
      </w:pPr>
      <w:r>
        <w:t>KT3-01325CDT9/1</w:t>
      </w:r>
    </w:p>
    <w:p>
      <w:pPr>
        <w:spacing w:after="120"/>
      </w:pPr>
      <w:r>
        <w:t>U</w:t>
      </w:r>
    </w:p>
    <w:p>
      <w:pPr>
        <w:spacing w:after="120"/>
      </w:pPr>
      <w:r>
        <w:t>11. Độ không đảm bào đo của hệ thốngl Uncertainty of metering system =</w:t>
      </w:r>
    </w:p>
    <w:p>
      <w:pPr>
        <w:spacing w:after="120"/>
      </w:pPr>
      <w:r>
        <w:t>Độ không đảm bảo dol</w:t>
      </w:r>
    </w:p>
    <w:p>
      <w:pPr>
        <w:spacing w:after="120"/>
      </w:pPr>
      <w:r>
        <w:t>Lưu lượngl Flow rate</w:t>
      </w:r>
    </w:p>
    <w:p>
      <w:pPr>
        <w:spacing w:after="120"/>
      </w:pPr>
      <w:r>
        <w:t>Uncertainty</w:t>
      </w:r>
    </w:p>
    <w:p>
      <w:pPr>
        <w:spacing w:after="120"/>
      </w:pPr>
      <w:r>
        <w:t>Danh địnhl</w:t>
      </w:r>
    </w:p>
    <w:p>
      <w:pPr>
        <w:spacing w:after="120"/>
      </w:pPr>
      <w:r>
        <w:t>Thể tích chuẩn/</w:t>
      </w:r>
    </w:p>
    <w:p>
      <w:pPr>
        <w:spacing w:after="120"/>
      </w:pPr>
      <w:r>
        <w:t>Năng lượngl</w:t>
      </w:r>
    </w:p>
    <w:p>
      <w:pPr>
        <w:spacing w:after="120"/>
      </w:pPr>
      <w:r>
        <w:t>Thể tích chuẩnl</w:t>
      </w:r>
    </w:p>
    <w:p>
      <w:pPr>
        <w:spacing w:after="120"/>
      </w:pPr>
      <w:r>
        <w:t>Năng lượngl</w:t>
      </w:r>
    </w:p>
    <w:p>
      <w:pPr>
        <w:spacing w:after="120"/>
      </w:pPr>
      <w:r>
        <w:t>% Qmax</w:t>
      </w:r>
    </w:p>
    <w:p>
      <w:pPr>
        <w:spacing w:after="120"/>
      </w:pPr>
      <w:r>
        <w:t>Nominal</w:t>
      </w:r>
    </w:p>
    <w:p>
      <w:pPr>
        <w:spacing w:after="120"/>
      </w:pPr>
      <w:r>
        <w:t>Standard volume</w:t>
      </w:r>
    </w:p>
    <w:p>
      <w:pPr>
        <w:spacing w:after="120"/>
      </w:pPr>
      <w:r>
        <w:t>Energy</w:t>
      </w:r>
    </w:p>
    <w:p>
      <w:pPr>
        <w:spacing w:after="120"/>
      </w:pPr>
      <w:r>
        <w:t>Standard volune</w:t>
      </w:r>
    </w:p>
    <w:p>
      <w:pPr>
        <w:spacing w:after="120"/>
      </w:pPr>
      <w:r>
        <w:t>Energy</w:t>
      </w:r>
    </w:p>
    <w:p>
      <w:pPr>
        <w:spacing w:after="120"/>
      </w:pPr>
      <w:r>
        <w:t>%</w:t>
      </w:r>
    </w:p>
    <w:p>
      <w:pPr>
        <w:spacing w:after="120"/>
      </w:pPr>
      <w:r>
        <w:t>m /h</w:t>
      </w:r>
    </w:p>
    <w:p>
      <w:pPr>
        <w:spacing w:after="120"/>
      </w:pPr>
      <w:r>
        <w:t>Sm'/h</w:t>
      </w:r>
    </w:p>
    <w:p>
      <w:pPr>
        <w:spacing w:after="120"/>
      </w:pPr>
      <w:r>
        <w:t>MJ/h</w:t>
      </w:r>
    </w:p>
    <w:p>
      <w:pPr>
        <w:spacing w:after="120"/>
      </w:pPr>
      <w:r>
        <w:t>%</w:t>
      </w:r>
    </w:p>
    <w:p>
      <w:pPr>
        <w:spacing w:after="120"/>
      </w:pPr>
      <w:r>
        <w:t>5,0</w:t>
      </w:r>
    </w:p>
    <w:p>
      <w:pPr>
        <w:spacing w:after="120"/>
      </w:pPr>
      <w:r>
        <w:t>250</w:t>
      </w:r>
    </w:p>
    <w:p>
      <w:pPr>
        <w:spacing w:after="120"/>
      </w:pPr>
      <w:r>
        <w:t>8818</w:t>
      </w:r>
    </w:p>
    <w:p>
      <w:pPr>
        <w:spacing w:after="120"/>
      </w:pPr>
      <w:r>
        <w:t>358578</w:t>
      </w:r>
    </w:p>
    <w:p>
      <w:pPr>
        <w:spacing w:after="120"/>
      </w:pPr>
      <w:r>
        <w:t>0,35</w:t>
      </w:r>
    </w:p>
    <w:p>
      <w:pPr>
        <w:spacing w:after="120"/>
      </w:pPr>
      <w:r>
        <w:t>0,36</w:t>
      </w:r>
    </w:p>
    <w:p>
      <w:pPr>
        <w:spacing w:after="120"/>
      </w:pPr>
      <w:r>
        <w:t>10,1</w:t>
      </w:r>
    </w:p>
    <w:p>
      <w:pPr>
        <w:spacing w:after="120"/>
      </w:pPr>
      <w:r>
        <w:t>504</w:t>
      </w:r>
    </w:p>
    <w:p>
      <w:pPr>
        <w:spacing w:after="120"/>
      </w:pPr>
      <w:r>
        <w:t>17739</w:t>
      </w:r>
    </w:p>
    <w:p>
      <w:pPr>
        <w:spacing w:after="120"/>
      </w:pPr>
      <w:r>
        <w:t>721339</w:t>
      </w:r>
    </w:p>
    <w:p>
      <w:pPr>
        <w:spacing w:after="120"/>
      </w:pPr>
      <w:r>
        <w:t>0,36</w:t>
      </w:r>
    </w:p>
    <w:p>
      <w:pPr>
        <w:spacing w:after="120"/>
      </w:pPr>
      <w:r>
        <w:t>0,37</w:t>
      </w:r>
    </w:p>
    <w:p>
      <w:pPr>
        <w:spacing w:after="120"/>
      </w:pPr>
      <w:r>
        <w:t>25,2</w:t>
      </w:r>
    </w:p>
    <w:p>
      <w:pPr>
        <w:spacing w:after="120"/>
      </w:pPr>
      <w:r>
        <w:t>1262</w:t>
      </w:r>
    </w:p>
    <w:p>
      <w:pPr>
        <w:spacing w:after="120"/>
      </w:pPr>
      <w:r>
        <w:t>44473</w:t>
      </w:r>
    </w:p>
    <w:p>
      <w:pPr>
        <w:spacing w:after="120"/>
      </w:pPr>
      <w:r>
        <w:t>1808490</w:t>
      </w:r>
    </w:p>
    <w:p>
      <w:pPr>
        <w:spacing w:after="120"/>
      </w:pPr>
      <w:r>
        <w:t>0,36</w:t>
      </w:r>
    </w:p>
    <w:p>
      <w:pPr>
        <w:spacing w:after="120"/>
      </w:pPr>
      <w:r>
        <w:t>0,37</w:t>
      </w:r>
    </w:p>
    <w:p>
      <w:pPr>
        <w:spacing w:after="120"/>
      </w:pPr>
      <w:r>
        <w:t>39,9</w:t>
      </w:r>
    </w:p>
    <w:p>
      <w:pPr>
        <w:spacing w:after="120"/>
      </w:pPr>
      <w:r>
        <w:t>1996</w:t>
      </w:r>
    </w:p>
    <w:p>
      <w:pPr>
        <w:spacing w:after="120"/>
      </w:pPr>
      <w:r>
        <w:t>70330</w:t>
      </w:r>
    </w:p>
    <w:p>
      <w:pPr>
        <w:spacing w:after="120"/>
      </w:pPr>
      <w:r>
        <w:t>2859928</w:t>
      </w:r>
    </w:p>
    <w:p>
      <w:pPr>
        <w:spacing w:after="120"/>
      </w:pPr>
      <w:r>
        <w:t>0,35</w:t>
      </w:r>
    </w:p>
    <w:p>
      <w:pPr>
        <w:spacing w:after="120"/>
      </w:pPr>
      <w:r>
        <w:t>0,36</w:t>
      </w:r>
    </w:p>
    <w:p>
      <w:pPr>
        <w:spacing w:after="120"/>
      </w:pPr>
      <w:r>
        <w:t>69,8</w:t>
      </w:r>
    </w:p>
    <w:p>
      <w:pPr>
        <w:spacing w:after="120"/>
      </w:pPr>
      <w:r>
        <w:t>3488</w:t>
      </w:r>
    </w:p>
    <w:p>
      <w:pPr>
        <w:spacing w:after="120"/>
      </w:pPr>
      <w:r>
        <w:t>122884</w:t>
      </w:r>
    </w:p>
    <w:p>
      <w:pPr>
        <w:spacing w:after="120"/>
      </w:pPr>
      <w:r>
        <w:t>4997013</w:t>
      </w:r>
    </w:p>
    <w:p>
      <w:pPr>
        <w:spacing w:after="120"/>
      </w:pPr>
      <w:r>
        <w:t>0,34</w:t>
      </w:r>
    </w:p>
    <w:p>
      <w:pPr>
        <w:spacing w:after="120"/>
      </w:pPr>
      <w:r>
        <w:t>0,36</w:t>
      </w:r>
    </w:p>
    <w:p>
      <w:pPr>
        <w:spacing w:after="120"/>
      </w:pPr>
      <w:r>
        <w:t>80,4</w:t>
      </w:r>
    </w:p>
    <w:p>
      <w:pPr>
        <w:spacing w:after="120"/>
      </w:pPr>
      <w:r>
        <w:t>4022</w:t>
      </w:r>
    </w:p>
    <w:p>
      <w:pPr>
        <w:spacing w:after="120"/>
      </w:pPr>
      <w:r>
        <w:t>141678</w:t>
      </w:r>
    </w:p>
    <w:p>
      <w:pPr>
        <w:spacing w:after="120"/>
      </w:pPr>
      <w:r>
        <w:t>5761257</w:t>
      </w:r>
    </w:p>
    <w:p>
      <w:pPr>
        <w:spacing w:after="120"/>
      </w:pPr>
      <w:r>
        <w:t>0,35</w:t>
      </w:r>
    </w:p>
    <w:p>
      <w:pPr>
        <w:spacing w:after="120"/>
      </w:pPr>
      <w:r>
        <w:t>0,36</w:t>
      </w:r>
    </w:p>
    <w:p>
      <w:pPr>
        <w:spacing w:after="120"/>
      </w:pPr>
      <w:r>
        <w:t>Note</w:t>
      </w:r>
    </w:p>
    <w:p>
      <w:pPr>
        <w:spacing w:after="120"/>
      </w:pPr>
      <w:r>
        <w:t>Độ không đảm bào do</w:t>
      </w:r>
    </w:p>
    <w:p>
      <w:pPr>
        <w:spacing w:after="120"/>
      </w:pPr>
      <w:r>
        <w:t>tính theo ISO 5168.2005 với phân bố chuẩn tương</w:t>
      </w:r>
    </w:p>
    <w:p>
      <w:pPr>
        <w:spacing w:after="120"/>
      </w:pPr>
      <w:r>
        <w:t>độ tin cậy 95%</w:t>
      </w:r>
    </w:p>
    <w:p>
      <w:pPr>
        <w:spacing w:after="120"/>
      </w:pPr>
      <w:r>
        <w:t>và hệ số phủ k =2/ The total uncertainty is calculated base on ISO 5168:2005 with the confident</w:t>
      </w:r>
    </w:p>
    <w:p>
      <w:pPr>
        <w:spacing w:after="120"/>
      </w:pPr>
      <w:r>
        <w:t>level at 95 % and coverage factor k = 2;</w:t>
      </w:r>
    </w:p>
    <w:p>
      <w:pPr>
        <w:spacing w:after="120"/>
      </w:pPr>
      <w:r>
        <w:t>Kết</w:t>
      </w:r>
    </w:p>
    <w:p>
      <w:pPr>
        <w:spacing w:after="120"/>
      </w:pPr>
      <w:r>
        <w:t>tính toán dựa trên điều kiện làn việc của hệ</w:t>
      </w:r>
    </w:p>
    <w:p>
      <w:pPr>
        <w:spacing w:after="120"/>
      </w:pPr>
      <w:r>
        <w:t>tại áp suất chân</w:t>
      </w:r>
    </w:p>
    <w:p>
      <w:pPr>
        <w:spacing w:after="120"/>
      </w:pPr>
      <w:r>
        <w:t>34,01325 bar a</w:t>
      </w:r>
    </w:p>
    <w:p>
      <w:pPr>
        <w:spacing w:after="120"/>
      </w:pPr>
      <w:r>
        <w:t>0</w:t>
      </w:r>
    </w:p>
    <w:p>
      <w:pPr>
        <w:spacing w:after="120"/>
      </w:pPr>
      <w:r>
        <w:t>và 20</w:t>
      </w:r>
    </w:p>
    <w:p>
      <w:pPr>
        <w:spacing w:after="120"/>
      </w:pPr>
      <w:r>
        <w:t>Cl The calculated results in the operating condition at absolute pressure 34,01325 bar a and</w:t>
      </w:r>
    </w:p>
    <w:p>
      <w:pPr>
        <w:spacing w:after="120"/>
      </w:pPr>
      <w:r>
        <w:t>20</w:t>
      </w:r>
    </w:p>
    <w:p>
      <w:pPr>
        <w:spacing w:after="120"/>
      </w:pPr>
      <w:r>
        <w:t>C;</w:t>
      </w:r>
    </w:p>
    <w:p>
      <w:pPr>
        <w:spacing w:after="120"/>
      </w:pPr>
      <w:r>
        <w:t>Thành</w:t>
      </w:r>
    </w:p>
    <w:p>
      <w:pPr>
        <w:spacing w:after="120"/>
      </w:pPr>
      <w:r>
        <w:t>khí áp dụng tính toán tương ứng với thành</w:t>
      </w:r>
    </w:p>
    <w:p>
      <w:pPr>
        <w:spacing w:after="120"/>
      </w:pPr>
      <w:r>
        <w:t>khí làm việc cia hệ</w:t>
      </w:r>
    </w:p>
    <w:p>
      <w:pPr>
        <w:spacing w:after="120"/>
      </w:pPr>
      <w:r>
        <w:t>hống} The</w:t>
      </w:r>
    </w:p>
    <w:p>
      <w:pPr>
        <w:spacing w:after="120"/>
      </w:pPr>
      <w:r>
        <w:t>gas composition was representative of working system natural gas</w:t>
      </w:r>
    </w:p>
    <w:p>
      <w:pPr>
        <w:spacing w:after="120"/>
      </w:pPr>
      <w:r>
        <w:t>Đơn vị Iưu lượng khí chuẩn được tính tại điều kiện chuân là áp suất chân</w:t>
      </w:r>
    </w:p>
    <w:p>
      <w:pPr>
        <w:spacing w:after="120"/>
      </w:pPr>
      <w:r>
        <w:t>1,01325 bar a và</w:t>
      </w:r>
    </w:p>
    <w:p>
      <w:pPr>
        <w:spacing w:after="120"/>
      </w:pPr>
      <w:r>
        <w:t>15 ' C/ The unit of volume flowrate is converted to the reference condition at 1,01325 bar a and</w:t>
      </w:r>
    </w:p>
    <w:p>
      <w:pPr>
        <w:spacing w:after="120"/>
      </w:pPr>
      <w:r>
        <w:t>15 % C</w:t>
      </w:r>
    </w:p>
    <w:p>
      <w:pPr>
        <w:spacing w:after="120"/>
      </w:pPr>
      <w:r>
        <w:t>ứng</w:t>
      </w:r>
    </w:p>
    <w:p>
      <w:pPr>
        <w:spacing w:after="120"/>
      </w:pPr>
      <w:r>
        <w:t>được</w:t>
      </w:r>
    </w:p>
    <w:p>
      <w:pPr>
        <w:spacing w:after="120"/>
      </w:pPr>
      <w:r>
        <w:t>thống</w:t>
      </w:r>
    </w:p>
    <w:p>
      <w:pPr>
        <w:spacing w:after="120"/>
      </w:pPr>
      <w:r>
        <w:t>không</w:t>
      </w:r>
    </w:p>
    <w:p>
      <w:pPr>
        <w:spacing w:after="120"/>
      </w:pPr>
      <w:r>
        <w:t>quả</w:t>
      </w:r>
    </w:p>
    <w:p>
      <w:pPr>
        <w:spacing w:after="120"/>
      </w:pPr>
      <w:r>
        <w:t>phần</w:t>
      </w:r>
    </w:p>
    <w:p>
      <w:pPr>
        <w:spacing w:after="120"/>
      </w:pPr>
      <w:r>
        <w:t>phần</w:t>
      </w:r>
    </w:p>
    <w:p>
      <w:pPr>
        <w:spacing w:after="120"/>
      </w:pPr>
      <w:r>
        <w:t>applied</w:t>
      </w:r>
    </w:p>
    <w:p>
      <w:pPr>
        <w:spacing w:after="120"/>
      </w:pPr>
      <w:r>
        <w:t>không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