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30"/>
        </w:rPr>
        <w:t>UBS Chief Investment Office — Organizational Chart</w:t>
      </w:r>
    </w:p>
    <w:p>
      <w:pPr>
        <w:spacing w:before="0" w:after="160" w:line="240" w:lineRule="auto"/>
        <w:jc w:val="center"/>
      </w:pPr>
      <w:r>
        <w:rPr>
          <w:i/>
          <w:color w:val="555555"/>
          <w:sz w:val="20"/>
        </w:rPr>
        <w:t>Reporting line for Alberto Rojas — Senior Emerging Markets Strategist, CIO Americas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6336"/>
            <w:shd w:val="clear" w:color="auto" w:fill="EFEFEF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22"/>
              </w:rPr>
              <w:t>Colm Kelleher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7"/>
              </w:rPr>
              <w:t>Chairman of the Board of Directors, UBS Group AG</w:t>
            </w:r>
          </w:p>
        </w:tc>
      </w:tr>
    </w:tbl>
    <w:p>
      <w:pPr>
        <w:spacing w:before="0" w:after="0" w:line="240" w:lineRule="auto"/>
        <w:jc w:val="center"/>
      </w:pPr>
      <w:r>
        <w:rPr>
          <w:color w:val="9AA0A6"/>
          <w:sz w:val="22"/>
        </w:rPr>
        <w:t>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6336"/>
            <w:shd w:val="clear" w:color="auto" w:fill="EFEFEF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22"/>
              </w:rPr>
              <w:t>Sergio P. Ermotti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7"/>
              </w:rPr>
              <w:t>Group CEO and President of the Executive Board, UBS  (GCFF – Group CEO)</w:t>
            </w:r>
          </w:p>
        </w:tc>
      </w:tr>
    </w:tbl>
    <w:p>
      <w:pPr>
        <w:spacing w:before="0" w:after="0" w:line="240" w:lineRule="auto"/>
        <w:jc w:val="center"/>
      </w:pPr>
      <w:r>
        <w:rPr>
          <w:color w:val="9AA0A6"/>
          <w:sz w:val="22"/>
        </w:rPr>
        <w:t>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6336"/>
            <w:shd w:val="clear" w:color="auto" w:fill="EFEFEF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22"/>
              </w:rPr>
              <w:t>Iqbal Khan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7"/>
              </w:rPr>
              <w:t>Co-President Global Wealth Management &amp; President UBS Asia-Pacific  (JRRB – Co-President GWM)</w:t>
            </w:r>
          </w:p>
        </w:tc>
      </w:tr>
    </w:tbl>
    <w:p>
      <w:pPr>
        <w:spacing w:before="0" w:after="0" w:line="240" w:lineRule="auto"/>
        <w:jc w:val="center"/>
      </w:pPr>
      <w:r>
        <w:rPr>
          <w:color w:val="9AA0A6"/>
          <w:sz w:val="22"/>
        </w:rPr>
        <w:t>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6336"/>
            <w:shd w:val="clear" w:color="auto" w:fill="EFEFEF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22"/>
              </w:rPr>
              <w:t>Mark Haefele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7"/>
              </w:rPr>
              <w:t>GWM Chief Investment Officer  (I7Z6 – Chief Investment Officer)</w:t>
            </w:r>
          </w:p>
        </w:tc>
      </w:tr>
    </w:tbl>
    <w:p>
      <w:pPr>
        <w:spacing w:before="0" w:after="0" w:line="240" w:lineRule="auto"/>
        <w:jc w:val="center"/>
      </w:pPr>
      <w:r>
        <w:rPr>
          <w:color w:val="9AA0A6"/>
          <w:sz w:val="22"/>
        </w:rPr>
        <w:t>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6336"/>
            <w:shd w:val="clear" w:color="auto" w:fill="EFEFEF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22"/>
              </w:rPr>
              <w:t>Ulrike Hoffmann-Burchardi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7"/>
              </w:rPr>
              <w:t>Chief Investment Officer Americas &amp; Head of Global Equities  (U48X – CIO Americas)</w:t>
            </w:r>
          </w:p>
        </w:tc>
      </w:tr>
    </w:tbl>
    <w:p>
      <w:pPr>
        <w:spacing w:before="0" w:after="0" w:line="240" w:lineRule="auto"/>
        <w:jc w:val="center"/>
      </w:pPr>
      <w:r>
        <w:rPr>
          <w:color w:val="9AA0A6"/>
          <w:sz w:val="22"/>
        </w:rPr>
        <w:t>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6336"/>
            <w:shd w:val="clear" w:color="auto" w:fill="DCE6F1"/>
            <w:tcBorders>
              <w:top w:val="single" w:sz="6" w:space="0" w:color="5B86B7"/>
              <w:left w:val="single" w:sz="6" w:space="0" w:color="5B86B7"/>
              <w:bottom w:val="single" w:sz="6" w:space="0" w:color="5B86B7"/>
              <w:right w:val="single" w:sz="6" w:space="0" w:color="5B86B7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22"/>
              </w:rPr>
              <w:t>Alejo Czerwonko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7"/>
              </w:rPr>
              <w:t>Chief Investment Officer Emerging Markets Americas  (AJZS – CIO US Emerging Markets)</w:t>
            </w:r>
          </w:p>
        </w:tc>
      </w:tr>
    </w:tbl>
    <w:p>
      <w:pPr>
        <w:spacing w:before="0" w:after="0" w:line="240" w:lineRule="auto"/>
        <w:jc w:val="center"/>
      </w:pPr>
      <w:r>
        <w:rPr>
          <w:color w:val="9AA0A6"/>
          <w:sz w:val="22"/>
        </w:rPr>
        <w:t>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6336"/>
            <w:shd w:val="clear" w:color="auto" w:fill="C9E2D2"/>
            <w:tcBorders>
              <w:top w:val="single" w:sz="6" w:space="0" w:color="3E7D52"/>
              <w:left w:val="single" w:sz="6" w:space="0" w:color="3E7D52"/>
              <w:bottom w:val="single" w:sz="6" w:space="0" w:color="3E7D52"/>
              <w:right w:val="single" w:sz="6" w:space="0" w:color="3E7D52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color w:val="1B4D2E"/>
                <w:sz w:val="22"/>
              </w:rPr>
              <w:t>Alberto Rojas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7"/>
              </w:rPr>
              <w:t>Senior Emerging Markets Strategist, CIO Americas</w:t>
            </w:r>
          </w:p>
        </w:tc>
      </w:tr>
    </w:tbl>
    <w:p>
      <w:r/>
    </w:p>
    <w:p>
      <w:pPr>
        <w:spacing w:before="120" w:after="80" w:line="240" w:lineRule="auto"/>
        <w:jc w:val="center"/>
      </w:pPr>
      <w:r>
        <w:rPr>
          <w:b/>
          <w:sz w:val="22"/>
        </w:rPr>
        <w:t>Emerging Markets Americas team — direct reports to Alejo Czerwonko</w:t>
      </w:r>
    </w:p>
    <w:p>
      <w:pPr>
        <w:spacing w:before="0" w:after="120" w:line="240" w:lineRule="auto"/>
        <w:jc w:val="center"/>
      </w:pPr>
      <w:r>
        <w:rPr>
          <w:i/>
          <w:color w:val="555555"/>
          <w:sz w:val="18"/>
        </w:rPr>
        <w:t>5 direct reports  |  12 total  —  New York (3, 60%) · Ciudad de México (1, 20%) · São Paulo (1, 20%)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F2F2F2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18"/>
              </w:rPr>
              <w:t>Luciano Telo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5"/>
              </w:rPr>
              <w:t>Senior Manager, WM</w:t>
            </w:r>
          </w:p>
        </w:tc>
        <w:tc>
          <w:tcPr>
            <w:tcW w:type="dxa" w:w="1987"/>
            <w:shd w:val="clear" w:color="auto" w:fill="F2F2F2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18"/>
              </w:rPr>
              <w:t>Gabriela Soni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5"/>
              </w:rPr>
              <w:t>Head of Investment Strategy, CIO</w:t>
            </w:r>
          </w:p>
        </w:tc>
        <w:tc>
          <w:tcPr>
            <w:tcW w:type="dxa" w:w="1987"/>
            <w:shd w:val="clear" w:color="auto" w:fill="F2F2F2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18"/>
              </w:rPr>
              <w:t>Xingchen Yu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5"/>
              </w:rPr>
              <w:t>Emerging Markets Strategist, CIO</w:t>
            </w:r>
          </w:p>
        </w:tc>
        <w:tc>
          <w:tcPr>
            <w:tcW w:type="dxa" w:w="1987"/>
            <w:shd w:val="clear" w:color="auto" w:fill="F2F2F2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18"/>
              </w:rPr>
              <w:t>Donald McLauchlan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5"/>
              </w:rPr>
              <w:t>Latin America Credit Strategist, CIO</w:t>
            </w:r>
          </w:p>
        </w:tc>
        <w:tc>
          <w:tcPr>
            <w:tcW w:type="dxa" w:w="1987"/>
            <w:shd w:val="clear" w:color="auto" w:fill="C9E2D2"/>
            <w:tcBorders>
              <w:top w:val="single" w:sz="6" w:space="0" w:color="3E7D52"/>
              <w:left w:val="single" w:sz="6" w:space="0" w:color="3E7D52"/>
              <w:bottom w:val="single" w:sz="6" w:space="0" w:color="3E7D52"/>
              <w:right w:val="single" w:sz="6" w:space="0" w:color="3E7D52"/>
            </w:tcBorders>
          </w:tcPr>
          <w:p>
            <w:pPr>
              <w:spacing w:before="40" w:after="20" w:line="240" w:lineRule="auto"/>
              <w:jc w:val="center"/>
            </w:pPr>
            <w:r>
              <w:rPr>
                <w:b/>
                <w:sz w:val="18"/>
              </w:rPr>
              <w:t>Alberto Rojas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i/>
                <w:color w:val="444444"/>
                <w:sz w:val="15"/>
              </w:rPr>
              <w:t>Senior Emerging Markets Strategist, CIO Americas</w:t>
            </w:r>
          </w:p>
        </w:tc>
      </w:tr>
    </w:tbl>
    <w:p>
      <w:pPr>
        <w:spacing w:before="200" w:after="0" w:line="240" w:lineRule="auto"/>
      </w:pPr>
      <w:r>
        <w:rPr>
          <w:i/>
          <w:color w:val="777777"/>
          <w:sz w:val="16"/>
        </w:rPr>
        <w:t>Source: UBS My Hub — People Directory (Line Manager View / Organizational Units), captured June 2026.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