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40"/>
      </w:pPr>
      <w:r>
        <w:rPr>
          <w:rFonts w:ascii="Arial" w:cs="Arial" w:eastAsia="Arial" w:hAnsi="Arial"/>
          <w:color w:val="16202E"/>
          <w:sz w:val="34"/>
          <w:szCs w:val="34"/>
        </w:rPr>
        <w:t xml:space="preserve">COP carry — the </w:t>
      </w:r>
      <w:r>
        <w:rPr>
          <w:rFonts w:ascii="Arial" w:cs="Arial" w:eastAsia="Arial" w:hAnsi="Arial"/>
          <w:b/>
          <w:bCs/>
          <w:color w:val="E60000"/>
          <w:sz w:val="34"/>
          <w:szCs w:val="34"/>
        </w:rPr>
        <w:t xml:space="preserve">cushion</w:t>
      </w:r>
      <w:r>
        <w:rPr>
          <w:rFonts w:ascii="Arial" w:cs="Arial" w:eastAsia="Arial" w:hAnsi="Arial"/>
          <w:color w:val="16202E"/>
          <w:sz w:val="34"/>
          <w:szCs w:val="34"/>
        </w:rPr>
        <w:t xml:space="preserve">, not the call</w:t>
      </w:r>
    </w:p>
    <w:p>
      <w:pPr>
        <w:spacing w:after="100" w:before="0" w:line="264"/>
      </w:pPr>
      <w:r>
        <w:rPr>
          <w:rFonts w:ascii="Arial" w:cs="Arial" w:eastAsia="Arial" w:hAnsi="Arial"/>
          <w:color w:val="6B7A8F"/>
          <w:sz w:val="17"/>
          <w:szCs w:val="17"/>
        </w:rPr>
        <w:t xml:space="preserve">Long COP vs USD, 12-month NDF  ·  27 August 2026</w:t>
      </w:r>
    </w:p>
    <w:p>
      <w:pPr>
        <w:pBdr>
          <w:bottom w:val="single" w:color="E60000" w:sz="18" w:space="1"/>
        </w:pBdr>
        <w:spacing w:after="160"/>
        <w:ind w:right="8420"/>
      </w:pPr>
      <w:r>
        <w:rPr>
          <w:rFonts w:ascii="Arial" w:cs="Arial" w:eastAsia="Arial" w:hAnsi="Arial"/>
          <w:color w:val="16202E"/>
          <w:sz w:val="2"/>
          <w:szCs w:val="2"/>
        </w:rPr>
        <w:t xml:space="preserve"/>
      </w:r>
    </w:p>
    <w:p>
      <w:pPr>
        <w:pBdr>
          <w:left w:val="single" w:color="D8DEE7" w:sz="12" w:space="10"/>
        </w:pBdr>
        <w:spacing w:after="190" w:line="296"/>
        <w:ind w:left="200"/>
      </w:pPr>
      <w:r>
        <w:rPr>
          <w:rFonts w:ascii="Arial" w:cs="Arial" w:eastAsia="Arial" w:hAnsi="Arial"/>
          <w:color w:val="16202E"/>
          <w:sz w:val="22"/>
          <w:szCs w:val="22"/>
        </w:rPr>
        <w:t xml:space="preserve">This is not a peso appreciation trade. At a 12-month outright of 3,422 you are paid </w:t>
      </w:r>
      <w:r>
        <w:rPr>
          <w:rFonts w:ascii="Arial" w:cs="Arial" w:eastAsia="Arial" w:hAnsi="Arial"/>
          <w:b/>
          <w:bCs/>
          <w:color w:val="E60000"/>
          <w:sz w:val="22"/>
          <w:szCs w:val="22"/>
        </w:rPr>
        <w:t xml:space="preserve">8.6%</w:t>
      </w:r>
      <w:r>
        <w:rPr>
          <w:rFonts w:ascii="Arial" w:cs="Arial" w:eastAsia="Arial" w:hAnsi="Arial"/>
          <w:color w:val="16202E"/>
          <w:sz w:val="22"/>
          <w:szCs w:val="22"/>
        </w:rPr>
        <w:t xml:space="preserve"> to be wrong about direction — USDCOP can rise from 3,152 to 3,422 and you still break even. The question is not whether COP rallies further from a seven-year high. It is whether it gives back more than the cushion.</w:t>
      </w:r>
    </w:p>
    <w:tbl>
      <w:tblPr>
        <w:tblW w:type="dxa" w:w="9360"/>
        <w:tblBorders>
          <w:top w:val="single" w:color="D8DEE7" w:sz="6"/>
          <w:left w:val="none" w:color="FFFFFF" w:sz="0"/>
          <w:bottom w:val="single" w:color="D8DEE7" w:sz="6"/>
          <w:right w:val="none" w:color="FFFFFF" w:sz="0"/>
          <w:insideH w:val="none" w:color="FFFFFF" w:sz="0"/>
          <w:insideV w:val="single" w:color="D8DEE7" w:sz="4"/>
        </w:tblBorders>
      </w:tblPr>
      <w:tblGrid>
        <w:gridCol w:w="1872"/>
        <w:gridCol w:w="1872"/>
        <w:gridCol w:w="1872"/>
        <w:gridCol w:w="1872"/>
        <w:gridCol w:w="1872"/>
      </w:tblGrid>
      <w:tr>
        <w:tc>
          <w:tcPr>
            <w:tcW w:type="dxa" w:w="1872"/>
            <w:tcMar>
              <w:top w:type="dxa" w:w="110"/>
              <w:left w:type="dxa" w:w="100"/>
              <w:bottom w:type="dxa" w:w="110"/>
              <w:right w:type="dxa" w:w="100"/>
            </w:tcMar>
          </w:tcPr>
          <w:p>
            <w:pPr>
              <w:spacing w:after="20" w:before="0" w:line="200"/>
            </w:pPr>
            <w:r>
              <w:rPr>
                <w:rFonts w:ascii="Arial" w:cs="Arial" w:eastAsia="Arial" w:hAnsi="Arial"/>
                <w:color w:val="6B7A8F"/>
                <w:sz w:val="13"/>
                <w:szCs w:val="13"/>
              </w:rPr>
              <w:t xml:space="preserve">COP 12M IMPLIED</w:t>
            </w:r>
          </w:p>
          <w:p>
            <w:pPr>
              <w:spacing w:after="20" w:before="0" w:line="260"/>
            </w:pPr>
            <w:r>
              <w:rPr>
                <w:rFonts w:ascii="Arial" w:cs="Arial" w:eastAsia="Arial" w:hAnsi="Arial"/>
                <w:color w:val="1F3B63"/>
                <w:sz w:val="26"/>
                <w:szCs w:val="26"/>
              </w:rPr>
              <w:t xml:space="preserve">12.59%</w:t>
            </w:r>
          </w:p>
          <w:p>
            <w:pPr>
              <w:spacing w:after="0" w:before="0" w:line="200"/>
            </w:pPr>
            <w:r>
              <w:rPr>
                <w:rFonts w:ascii="Arial" w:cs="Arial" w:eastAsia="Arial" w:hAnsi="Arial"/>
                <w:i/>
                <w:iCs/>
                <w:color w:val="6B7A8F"/>
                <w:sz w:val="13"/>
                <w:szCs w:val="13"/>
              </w:rPr>
              <w:t xml:space="preserve">CLNI12M BGN</w:t>
            </w:r>
          </w:p>
        </w:tc>
        <w:tc>
          <w:tcPr>
            <w:tcW w:type="dxa" w:w="1872"/>
            <w:tcMar>
              <w:top w:type="dxa" w:w="110"/>
              <w:left w:type="dxa" w:w="100"/>
              <w:bottom w:type="dxa" w:w="110"/>
              <w:right w:type="dxa" w:w="100"/>
            </w:tcMar>
          </w:tcPr>
          <w:p>
            <w:pPr>
              <w:spacing w:after="20" w:before="0" w:line="200"/>
            </w:pPr>
            <w:r>
              <w:rPr>
                <w:rFonts w:ascii="Arial" w:cs="Arial" w:eastAsia="Arial" w:hAnsi="Arial"/>
                <w:color w:val="6B7A8F"/>
                <w:sz w:val="13"/>
                <w:szCs w:val="13"/>
              </w:rPr>
              <w:t xml:space="preserve">USD 1Y SOFR OIS</w:t>
            </w:r>
          </w:p>
          <w:p>
            <w:pPr>
              <w:spacing w:after="20" w:before="0" w:line="260"/>
            </w:pPr>
            <w:r>
              <w:rPr>
                <w:rFonts w:ascii="Arial" w:cs="Arial" w:eastAsia="Arial" w:hAnsi="Arial"/>
                <w:color w:val="1F3B63"/>
                <w:sz w:val="26"/>
                <w:szCs w:val="26"/>
              </w:rPr>
              <w:t xml:space="preserve">4.02%</w:t>
            </w:r>
          </w:p>
          <w:p>
            <w:pPr>
              <w:spacing w:after="0" w:before="0" w:line="200"/>
            </w:pPr>
            <w:r>
              <w:rPr>
                <w:rFonts w:ascii="Arial" w:cs="Arial" w:eastAsia="Arial" w:hAnsi="Arial"/>
                <w:i/>
                <w:iCs/>
                <w:color w:val="6B7A8F"/>
                <w:sz w:val="13"/>
                <w:szCs w:val="13"/>
              </w:rPr>
              <w:t xml:space="preserve">USOSFR1 BGN</w:t>
            </w:r>
          </w:p>
        </w:tc>
        <w:tc>
          <w:tcPr>
            <w:tcW w:type="dxa" w:w="1872"/>
            <w:tcMar>
              <w:top w:type="dxa" w:w="110"/>
              <w:left w:type="dxa" w:w="100"/>
              <w:bottom w:type="dxa" w:w="110"/>
              <w:right w:type="dxa" w:w="100"/>
            </w:tcMar>
          </w:tcPr>
          <w:p>
            <w:pPr>
              <w:spacing w:after="20" w:before="0" w:line="200"/>
            </w:pPr>
            <w:r>
              <w:rPr>
                <w:rFonts w:ascii="Arial" w:cs="Arial" w:eastAsia="Arial" w:hAnsi="Arial"/>
                <w:color w:val="6B7A8F"/>
                <w:sz w:val="13"/>
                <w:szCs w:val="13"/>
              </w:rPr>
              <w:t xml:space="preserve">GROSS CARRY</w:t>
            </w:r>
          </w:p>
          <w:p>
            <w:pPr>
              <w:spacing w:after="20" w:before="0" w:line="260"/>
            </w:pPr>
            <w:r>
              <w:rPr>
                <w:rFonts w:ascii="Arial" w:cs="Arial" w:eastAsia="Arial" w:hAnsi="Arial"/>
                <w:color w:val="1F3B63"/>
                <w:sz w:val="26"/>
                <w:szCs w:val="26"/>
              </w:rPr>
              <w:t xml:space="preserve">8.57%</w:t>
            </w:r>
          </w:p>
          <w:p>
            <w:pPr>
              <w:spacing w:after="0" w:before="0" w:line="200"/>
            </w:pPr>
            <w:r>
              <w:rPr>
                <w:rFonts w:ascii="Arial" w:cs="Arial" w:eastAsia="Arial" w:hAnsi="Arial"/>
                <w:i/>
                <w:iCs/>
                <w:color w:val="6B7A8F"/>
                <w:sz w:val="13"/>
                <w:szCs w:val="13"/>
              </w:rPr>
              <w:t xml:space="preserve">locked at inception</w:t>
            </w:r>
          </w:p>
        </w:tc>
        <w:tc>
          <w:tcPr>
            <w:tcW w:type="dxa" w:w="1872"/>
            <w:tcMar>
              <w:top w:type="dxa" w:w="110"/>
              <w:left w:type="dxa" w:w="100"/>
              <w:bottom w:type="dxa" w:w="110"/>
              <w:right w:type="dxa" w:w="100"/>
            </w:tcMar>
          </w:tcPr>
          <w:p>
            <w:pPr>
              <w:spacing w:after="20" w:before="0" w:line="200"/>
            </w:pPr>
            <w:r>
              <w:rPr>
                <w:rFonts w:ascii="Arial" w:cs="Arial" w:eastAsia="Arial" w:hAnsi="Arial"/>
                <w:color w:val="6B7A8F"/>
                <w:sz w:val="13"/>
                <w:szCs w:val="13"/>
              </w:rPr>
              <w:t xml:space="preserve">SPOT</w:t>
            </w:r>
          </w:p>
          <w:p>
            <w:pPr>
              <w:spacing w:after="20" w:before="0" w:line="260"/>
            </w:pPr>
            <w:r>
              <w:rPr>
                <w:rFonts w:ascii="Arial" w:cs="Arial" w:eastAsia="Arial" w:hAnsi="Arial"/>
                <w:color w:val="1F3B63"/>
                <w:sz w:val="26"/>
                <w:szCs w:val="26"/>
              </w:rPr>
              <w:t xml:space="preserve">3,152</w:t>
            </w:r>
          </w:p>
          <w:p>
            <w:pPr>
              <w:spacing w:after="0" w:before="0" w:line="200"/>
            </w:pPr>
            <w:r>
              <w:rPr>
                <w:rFonts w:ascii="Arial" w:cs="Arial" w:eastAsia="Arial" w:hAnsi="Arial"/>
                <w:i/>
                <w:iCs/>
                <w:color w:val="6B7A8F"/>
                <w:sz w:val="13"/>
                <w:szCs w:val="13"/>
              </w:rPr>
              <w:t xml:space="preserve">COP REGN</w:t>
            </w:r>
          </w:p>
        </w:tc>
        <w:tc>
          <w:tcPr>
            <w:tcW w:type="dxa" w:w="1872"/>
            <w:tcMar>
              <w:top w:type="dxa" w:w="110"/>
              <w:left w:type="dxa" w:w="100"/>
              <w:bottom w:type="dxa" w:w="110"/>
              <w:right w:type="dxa" w:w="100"/>
            </w:tcMar>
          </w:tcPr>
          <w:p>
            <w:pPr>
              <w:spacing w:after="20" w:before="0" w:line="200"/>
            </w:pPr>
            <w:r>
              <w:rPr>
                <w:rFonts w:ascii="Arial" w:cs="Arial" w:eastAsia="Arial" w:hAnsi="Arial"/>
                <w:color w:val="6B7A8F"/>
                <w:sz w:val="13"/>
                <w:szCs w:val="13"/>
              </w:rPr>
              <w:t xml:space="preserve">12M BREAKEVEN</w:t>
            </w:r>
          </w:p>
          <w:p>
            <w:pPr>
              <w:spacing w:after="20" w:before="0" w:line="260"/>
            </w:pPr>
            <w:r>
              <w:rPr>
                <w:rFonts w:ascii="Arial" w:cs="Arial" w:eastAsia="Arial" w:hAnsi="Arial"/>
                <w:color w:val="1F3B63"/>
                <w:sz w:val="26"/>
                <w:szCs w:val="26"/>
              </w:rPr>
              <w:t xml:space="preserve">3,422</w:t>
            </w:r>
          </w:p>
          <w:p>
            <w:pPr>
              <w:spacing w:after="0" w:before="0" w:line="200"/>
            </w:pPr>
            <w:r>
              <w:rPr>
                <w:rFonts w:ascii="Arial" w:cs="Arial" w:eastAsia="Arial" w:hAnsi="Arial"/>
                <w:i/>
                <w:iCs/>
                <w:color w:val="6B7A8F"/>
                <w:sz w:val="13"/>
                <w:szCs w:val="13"/>
              </w:rPr>
              <w:t xml:space="preserve">+8.6% vs spot</w:t>
            </w:r>
          </w:p>
        </w:tc>
      </w:tr>
    </w:tbl>
    <w:p>
      <w:pPr>
        <w:spacing w:after="40" w:before="0" w:line="264"/>
      </w:pPr>
      <w:r>
        <w:rPr>
          <w:rFonts w:ascii="Arial" w:cs="Arial" w:eastAsia="Arial" w:hAnsi="Arial"/>
          <w:color w:val="16202E"/>
          <w:sz w:val="20"/>
          <w:szCs w:val="20"/>
        </w:rPr>
        <w:t xml:space="preserve"/>
      </w:r>
    </w:p>
    <w:p>
      <w:pPr>
        <w:spacing w:after="60"/>
        <w:jc w:val="center"/>
      </w:pPr>
      <w:r>
        <w:drawing>
          <wp:inline distT="0" distB="0" distL="0" distR="0">
            <wp:extent cx="56007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00700" cy="2876550"/>
                    </a:xfrm>
                    <a:prstGeom prst="rect">
                      <a:avLst/>
                    </a:prstGeom>
                  </pic:spPr>
                </pic:pic>
              </a:graphicData>
            </a:graphic>
          </wp:inline>
        </w:drawing>
      </w:r>
    </w:p>
    <w:p>
      <w:pPr>
        <w:spacing w:after="130" w:before="0" w:line="264"/>
        <w:jc w:val="center"/>
      </w:pPr>
      <w:r>
        <w:rPr>
          <w:rFonts w:ascii="Arial" w:cs="Arial" w:eastAsia="Arial" w:hAnsi="Arial"/>
          <w:i/>
          <w:iCs/>
          <w:color w:val="6B7A8F"/>
          <w:sz w:val="14"/>
          <w:szCs w:val="14"/>
        </w:rPr>
        <w:t xml:space="preserve">Carry is contractually locked at inception; terminal spot is the only variable. Shaded band is the breakeven cushion.</w:t>
      </w:r>
    </w:p>
    <w:p>
      <w:pPr>
        <w:keepNext/>
        <w:pBdr>
          <w:bottom w:val="single" w:color="D8DEE7" w:sz="6" w:space="4"/>
        </w:pBdr>
        <w:spacing w:after="110" w:before="240"/>
      </w:pPr>
      <w:r>
        <w:rPr>
          <w:rFonts w:ascii="Arial" w:cs="Arial" w:eastAsia="Arial" w:hAnsi="Arial"/>
          <w:b/>
          <w:bCs/>
          <w:color w:val="E60000"/>
          <w:sz w:val="21"/>
          <w:szCs w:val="21"/>
        </w:rPr>
        <w:t xml:space="preserve">Scenarios</w:t>
      </w:r>
    </w:p>
    <w:tbl>
      <w:tblPr>
        <w:tblW w:type="dxa" w:w="9360"/>
        <w:tblBorders>
          <w:top w:val="none" w:color="FFFFFF" w:sz="0"/>
          <w:left w:val="none" w:color="FFFFFF" w:sz="0"/>
          <w:bottom w:val="single" w:color="D8DEE7" w:sz="4"/>
          <w:right w:val="none" w:color="FFFFFF" w:sz="0"/>
          <w:insideH w:val="single" w:color="D8DEE7" w:sz="4"/>
          <w:insideV w:val="none" w:color="FFFFFF" w:sz="0"/>
        </w:tblBorders>
      </w:tblPr>
      <w:tblGrid>
        <w:gridCol w:w="2160"/>
        <w:gridCol w:w="660"/>
        <w:gridCol w:w="880"/>
        <w:gridCol w:w="860"/>
        <w:gridCol w:w="860"/>
        <w:gridCol w:w="860"/>
        <w:gridCol w:w="3080"/>
      </w:tblGrid>
      <w:tr>
        <w:trPr>
          <w:tblHeader/>
        </w:trPr>
        <w:tc>
          <w:tcPr>
            <w:tcW w:type="dxa" w:w="2160"/>
            <w:tcMar>
              <w:top w:type="dxa" w:w="66"/>
              <w:left w:type="dxa" w:w="84"/>
              <w:bottom w:type="dxa" w:w="66"/>
              <w:right w:type="dxa" w:w="84"/>
            </w:tcMar>
          </w:tcPr>
          <w:p>
            <w:pPr>
              <w:spacing w:after="0" w:before="0" w:line="200"/>
            </w:pPr>
            <w:r>
              <w:rPr>
                <w:rFonts w:ascii="Arial" w:cs="Arial" w:eastAsia="Arial" w:hAnsi="Arial"/>
                <w:color w:val="6B7A8F"/>
                <w:sz w:val="13"/>
                <w:szCs w:val="13"/>
              </w:rPr>
              <w:t xml:space="preserve">SCENARIO</w:t>
            </w:r>
          </w:p>
        </w:tc>
        <w:tc>
          <w:tcPr>
            <w:tcW w:type="dxa" w:w="660"/>
            <w:tcMar>
              <w:top w:type="dxa" w:w="66"/>
              <w:left w:type="dxa" w:w="84"/>
              <w:bottom w:type="dxa" w:w="66"/>
              <w:right w:type="dxa" w:w="84"/>
            </w:tcMar>
          </w:tcPr>
          <w:p>
            <w:pPr>
              <w:spacing w:after="0" w:before="0" w:line="200"/>
              <w:jc w:val="right"/>
            </w:pPr>
            <w:r>
              <w:rPr>
                <w:rFonts w:ascii="Arial" w:cs="Arial" w:eastAsia="Arial" w:hAnsi="Arial"/>
                <w:color w:val="6B7A8F"/>
                <w:sz w:val="13"/>
                <w:szCs w:val="13"/>
              </w:rPr>
              <w:t xml:space="preserve">PROB</w:t>
            </w:r>
          </w:p>
        </w:tc>
        <w:tc>
          <w:tcPr>
            <w:tcW w:type="dxa" w:w="880"/>
            <w:tcMar>
              <w:top w:type="dxa" w:w="66"/>
              <w:left w:type="dxa" w:w="84"/>
              <w:bottom w:type="dxa" w:w="66"/>
              <w:right w:type="dxa" w:w="84"/>
            </w:tcMar>
          </w:tcPr>
          <w:p>
            <w:pPr>
              <w:spacing w:after="0" w:before="0" w:line="200"/>
              <w:jc w:val="right"/>
            </w:pPr>
            <w:r>
              <w:rPr>
                <w:rFonts w:ascii="Arial" w:cs="Arial" w:eastAsia="Arial" w:hAnsi="Arial"/>
                <w:color w:val="6B7A8F"/>
                <w:sz w:val="13"/>
                <w:szCs w:val="13"/>
              </w:rPr>
              <w:t xml:space="preserve">USDCOP</w:t>
            </w:r>
          </w:p>
        </w:tc>
        <w:tc>
          <w:tcPr>
            <w:tcW w:type="dxa" w:w="860"/>
            <w:tcMar>
              <w:top w:type="dxa" w:w="66"/>
              <w:left w:type="dxa" w:w="84"/>
              <w:bottom w:type="dxa" w:w="66"/>
              <w:right w:type="dxa" w:w="84"/>
            </w:tcMar>
          </w:tcPr>
          <w:p>
            <w:pPr>
              <w:spacing w:after="0" w:before="0" w:line="200"/>
              <w:jc w:val="right"/>
            </w:pPr>
            <w:r>
              <w:rPr>
                <w:rFonts w:ascii="Arial" w:cs="Arial" w:eastAsia="Arial" w:hAnsi="Arial"/>
                <w:color w:val="6B7A8F"/>
                <w:sz w:val="13"/>
                <w:szCs w:val="13"/>
              </w:rPr>
              <w:t xml:space="preserve">SPOT</w:t>
            </w:r>
          </w:p>
        </w:tc>
        <w:tc>
          <w:tcPr>
            <w:tcW w:type="dxa" w:w="860"/>
            <w:tcMar>
              <w:top w:type="dxa" w:w="66"/>
              <w:left w:type="dxa" w:w="84"/>
              <w:bottom w:type="dxa" w:w="66"/>
              <w:right w:type="dxa" w:w="84"/>
            </w:tcMar>
          </w:tcPr>
          <w:p>
            <w:pPr>
              <w:spacing w:after="0" w:before="0" w:line="200"/>
              <w:jc w:val="right"/>
            </w:pPr>
            <w:r>
              <w:rPr>
                <w:rFonts w:ascii="Arial" w:cs="Arial" w:eastAsia="Arial" w:hAnsi="Arial"/>
                <w:color w:val="6B7A8F"/>
                <w:sz w:val="13"/>
                <w:szCs w:val="13"/>
              </w:rPr>
              <w:t xml:space="preserve">CARRY</w:t>
            </w:r>
          </w:p>
        </w:tc>
        <w:tc>
          <w:tcPr>
            <w:tcW w:type="dxa" w:w="860"/>
            <w:tcMar>
              <w:top w:type="dxa" w:w="66"/>
              <w:left w:type="dxa" w:w="84"/>
              <w:bottom w:type="dxa" w:w="66"/>
              <w:right w:type="dxa" w:w="84"/>
            </w:tcMar>
          </w:tcPr>
          <w:p>
            <w:pPr>
              <w:spacing w:after="0" w:before="0" w:line="200"/>
              <w:jc w:val="right"/>
            </w:pPr>
            <w:r>
              <w:rPr>
                <w:rFonts w:ascii="Arial" w:cs="Arial" w:eastAsia="Arial" w:hAnsi="Arial"/>
                <w:color w:val="6B7A8F"/>
                <w:sz w:val="13"/>
                <w:szCs w:val="13"/>
              </w:rPr>
              <w:t xml:space="preserve">TOTAL</w:t>
            </w:r>
          </w:p>
        </w:tc>
        <w:tc>
          <w:tcPr>
            <w:tcW w:type="dxa" w:w="3080"/>
            <w:tcMar>
              <w:top w:type="dxa" w:w="66"/>
              <w:left w:type="dxa" w:w="84"/>
              <w:bottom w:type="dxa" w:w="66"/>
              <w:right w:type="dxa" w:w="84"/>
            </w:tcMar>
          </w:tcPr>
          <w:p>
            <w:pPr>
              <w:spacing w:after="0" w:before="0" w:line="200"/>
            </w:pPr>
            <w:r>
              <w:rPr>
                <w:rFonts w:ascii="Arial" w:cs="Arial" w:eastAsia="Arial" w:hAnsi="Arial"/>
                <w:color w:val="6B7A8F"/>
                <w:sz w:val="13"/>
                <w:szCs w:val="13"/>
              </w:rPr>
              <w:t xml:space="preserve">DRIVER</w:t>
            </w:r>
          </w:p>
        </w:tc>
      </w:tr>
      <w:tr>
        <w:trPr>
          <w:cantSplit/>
        </w:trPr>
        <w:tc>
          <w:tcPr>
            <w:tcW w:type="dxa" w:w="2160"/>
            <w:tcMar>
              <w:top w:type="dxa" w:w="66"/>
              <w:left w:type="dxa" w:w="84"/>
              <w:bottom w:type="dxa" w:w="66"/>
              <w:right w:type="dxa" w:w="84"/>
            </w:tcMar>
          </w:tcPr>
          <w:p>
            <w:pPr>
              <w:spacing w:after="20" w:before="0" w:line="220"/>
            </w:pPr>
            <w:r>
              <w:rPr>
                <w:rFonts w:ascii="Arial" w:cs="Arial" w:eastAsia="Arial" w:hAnsi="Arial"/>
                <w:b/>
                <w:bCs/>
                <w:color w:val="16202E"/>
                <w:sz w:val="19"/>
                <w:szCs w:val="19"/>
              </w:rPr>
              <w:t xml:space="preserve">Bull</w:t>
            </w:r>
          </w:p>
          <w:p>
            <w:pPr>
              <w:spacing w:after="0" w:before="0" w:line="220"/>
            </w:pPr>
            <w:r>
              <w:rPr>
                <w:rFonts w:ascii="Arial" w:cs="Arial" w:eastAsia="Arial" w:hAnsi="Arial"/>
                <w:color w:val="6B7A8F"/>
                <w:sz w:val="15"/>
                <w:szCs w:val="15"/>
              </w:rPr>
              <w:t xml:space="preserve">Fiscal credibility delivered</w:t>
            </w:r>
          </w:p>
        </w:tc>
        <w:tc>
          <w:tcPr>
            <w:tcW w:type="dxa" w:w="660"/>
            <w:tcMar>
              <w:top w:type="dxa" w:w="66"/>
              <w:left w:type="dxa" w:w="84"/>
              <w:bottom w:type="dxa" w:w="66"/>
              <w:right w:type="dxa" w:w="84"/>
            </w:tcMar>
          </w:tcPr>
          <w:p>
            <w:pPr>
              <w:spacing w:after="0" w:before="0" w:line="264"/>
              <w:jc w:val="right"/>
            </w:pPr>
            <w:r>
              <w:rPr>
                <w:rFonts w:ascii="Arial" w:cs="Arial" w:eastAsia="Arial" w:hAnsi="Arial"/>
                <w:color w:val="16202E"/>
                <w:sz w:val="19"/>
                <w:szCs w:val="19"/>
              </w:rPr>
              <w:t xml:space="preserve">20%</w:t>
            </w:r>
          </w:p>
        </w:tc>
        <w:tc>
          <w:tcPr>
            <w:tcW w:type="dxa" w:w="880"/>
            <w:tcMar>
              <w:top w:type="dxa" w:w="66"/>
              <w:left w:type="dxa" w:w="84"/>
              <w:bottom w:type="dxa" w:w="66"/>
              <w:right w:type="dxa" w:w="84"/>
            </w:tcMar>
          </w:tcPr>
          <w:p>
            <w:pPr>
              <w:spacing w:after="0" w:before="0" w:line="264"/>
              <w:jc w:val="right"/>
            </w:pPr>
            <w:r>
              <w:rPr>
                <w:rFonts w:ascii="Arial" w:cs="Arial" w:eastAsia="Arial" w:hAnsi="Arial"/>
                <w:color w:val="16202E"/>
                <w:sz w:val="19"/>
                <w:szCs w:val="19"/>
              </w:rPr>
              <w:t xml:space="preserve">2,950</w:t>
            </w:r>
          </w:p>
        </w:tc>
        <w:tc>
          <w:tcPr>
            <w:tcW w:type="dxa" w:w="860"/>
            <w:tcMar>
              <w:top w:type="dxa" w:w="66"/>
              <w:left w:type="dxa" w:w="84"/>
              <w:bottom w:type="dxa" w:w="66"/>
              <w:right w:type="dxa" w:w="84"/>
            </w:tcMar>
          </w:tcPr>
          <w:p>
            <w:pPr>
              <w:spacing w:after="0" w:before="0" w:line="264"/>
              <w:jc w:val="right"/>
            </w:pPr>
            <w:r>
              <w:rPr>
                <w:rFonts w:ascii="Arial" w:cs="Arial" w:eastAsia="Arial" w:hAnsi="Arial"/>
                <w:color w:val="16202E"/>
                <w:sz w:val="19"/>
                <w:szCs w:val="19"/>
              </w:rPr>
              <w:t xml:space="preserve">+6.8%</w:t>
            </w:r>
          </w:p>
        </w:tc>
        <w:tc>
          <w:tcPr>
            <w:tcW w:type="dxa" w:w="860"/>
            <w:tcMar>
              <w:top w:type="dxa" w:w="66"/>
              <w:left w:type="dxa" w:w="84"/>
              <w:bottom w:type="dxa" w:w="66"/>
              <w:right w:type="dxa" w:w="84"/>
            </w:tcMar>
          </w:tcPr>
          <w:p>
            <w:pPr>
              <w:spacing w:after="0" w:before="0" w:line="264"/>
              <w:jc w:val="right"/>
            </w:pPr>
            <w:r>
              <w:rPr>
                <w:rFonts w:ascii="Arial" w:cs="Arial" w:eastAsia="Arial" w:hAnsi="Arial"/>
                <w:color w:val="16202E"/>
                <w:sz w:val="19"/>
                <w:szCs w:val="19"/>
              </w:rPr>
              <w:t xml:space="preserve">+9.2%</w:t>
            </w:r>
          </w:p>
        </w:tc>
        <w:tc>
          <w:tcPr>
            <w:tcW w:type="dxa" w:w="860"/>
            <w:tcMar>
              <w:top w:type="dxa" w:w="66"/>
              <w:left w:type="dxa" w:w="84"/>
              <w:bottom w:type="dxa" w:w="66"/>
              <w:right w:type="dxa" w:w="84"/>
            </w:tcMar>
          </w:tcPr>
          <w:p>
            <w:pPr>
              <w:spacing w:after="0" w:before="0" w:line="264"/>
              <w:jc w:val="right"/>
            </w:pPr>
            <w:r>
              <w:rPr>
                <w:rFonts w:ascii="Arial" w:cs="Arial" w:eastAsia="Arial" w:hAnsi="Arial"/>
                <w:b/>
                <w:bCs/>
                <w:color w:val="2E7D5B"/>
                <w:sz w:val="19"/>
                <w:szCs w:val="19"/>
              </w:rPr>
              <w:t xml:space="preserve">+16.0%</w:t>
            </w:r>
          </w:p>
        </w:tc>
        <w:tc>
          <w:tcPr>
            <w:tcW w:type="dxa" w:w="3080"/>
            <w:tcMar>
              <w:top w:type="dxa" w:w="66"/>
              <w:left w:type="dxa" w:w="84"/>
              <w:bottom w:type="dxa" w:w="66"/>
              <w:right w:type="dxa" w:w="84"/>
            </w:tcMar>
          </w:tcPr>
          <w:p>
            <w:pPr>
              <w:spacing w:after="0" w:before="0" w:line="200"/>
            </w:pPr>
            <w:r>
              <w:rPr>
                <w:rFonts w:ascii="Arial" w:cs="Arial" w:eastAsia="Arial" w:hAnsi="Arial"/>
                <w:color w:val="6B7A8F"/>
                <w:sz w:val="14"/>
                <w:szCs w:val="14"/>
              </w:rPr>
              <w:t xml:space="preserve">COP 60tn spending freeze converts into passed legislation; fiscal rule restored; ratings outlook stabilises. Upside capped by Banrep's USD 4bn reserve accumulation.</w:t>
            </w:r>
          </w:p>
        </w:tc>
      </w:tr>
      <w:tr>
        <w:trPr>
          <w:cantSplit/>
        </w:trPr>
        <w:tc>
          <w:tcPr>
            <w:tcW w:type="dxa" w:w="2160"/>
            <w:tcMar>
              <w:top w:type="dxa" w:w="66"/>
              <w:left w:type="dxa" w:w="84"/>
              <w:bottom w:type="dxa" w:w="66"/>
              <w:right w:type="dxa" w:w="84"/>
            </w:tcMar>
          </w:tcPr>
          <w:p>
            <w:pPr>
              <w:spacing w:after="20" w:before="0" w:line="220"/>
            </w:pPr>
            <w:r>
              <w:rPr>
                <w:rFonts w:ascii="Arial" w:cs="Arial" w:eastAsia="Arial" w:hAnsi="Arial"/>
                <w:b/>
                <w:bCs/>
                <w:color w:val="16202E"/>
                <w:sz w:val="19"/>
                <w:szCs w:val="19"/>
              </w:rPr>
              <w:t xml:space="preserve">Base</w:t>
            </w:r>
          </w:p>
          <w:p>
            <w:pPr>
              <w:spacing w:after="0" w:before="0" w:line="220"/>
            </w:pPr>
            <w:r>
              <w:rPr>
                <w:rFonts w:ascii="Arial" w:cs="Arial" w:eastAsia="Arial" w:hAnsi="Arial"/>
                <w:color w:val="6B7A8F"/>
                <w:sz w:val="15"/>
                <w:szCs w:val="15"/>
              </w:rPr>
              <w:t xml:space="preserve">Election priced, programme not</w:t>
            </w:r>
          </w:p>
        </w:tc>
        <w:tc>
          <w:tcPr>
            <w:tcW w:type="dxa" w:w="660"/>
            <w:tcMar>
              <w:top w:type="dxa" w:w="66"/>
              <w:left w:type="dxa" w:w="84"/>
              <w:bottom w:type="dxa" w:w="66"/>
              <w:right w:type="dxa" w:w="84"/>
            </w:tcMar>
          </w:tcPr>
          <w:p>
            <w:pPr>
              <w:spacing w:after="0" w:before="0" w:line="264"/>
              <w:jc w:val="right"/>
            </w:pPr>
            <w:r>
              <w:rPr>
                <w:rFonts w:ascii="Arial" w:cs="Arial" w:eastAsia="Arial" w:hAnsi="Arial"/>
                <w:color w:val="16202E"/>
                <w:sz w:val="19"/>
                <w:szCs w:val="19"/>
              </w:rPr>
              <w:t xml:space="preserve">55%</w:t>
            </w:r>
          </w:p>
        </w:tc>
        <w:tc>
          <w:tcPr>
            <w:tcW w:type="dxa" w:w="880"/>
            <w:tcMar>
              <w:top w:type="dxa" w:w="66"/>
              <w:left w:type="dxa" w:w="84"/>
              <w:bottom w:type="dxa" w:w="66"/>
              <w:right w:type="dxa" w:w="84"/>
            </w:tcMar>
          </w:tcPr>
          <w:p>
            <w:pPr>
              <w:spacing w:after="0" w:before="0" w:line="264"/>
              <w:jc w:val="right"/>
            </w:pPr>
            <w:r>
              <w:rPr>
                <w:rFonts w:ascii="Arial" w:cs="Arial" w:eastAsia="Arial" w:hAnsi="Arial"/>
                <w:color w:val="16202E"/>
                <w:sz w:val="19"/>
                <w:szCs w:val="19"/>
              </w:rPr>
              <w:t xml:space="preserve">3,250</w:t>
            </w:r>
          </w:p>
        </w:tc>
        <w:tc>
          <w:tcPr>
            <w:tcW w:type="dxa" w:w="860"/>
            <w:tcMar>
              <w:top w:type="dxa" w:w="66"/>
              <w:left w:type="dxa" w:w="84"/>
              <w:bottom w:type="dxa" w:w="66"/>
              <w:right w:type="dxa" w:w="84"/>
            </w:tcMar>
          </w:tcPr>
          <w:p>
            <w:pPr>
              <w:spacing w:after="0" w:before="0" w:line="264"/>
              <w:jc w:val="right"/>
            </w:pPr>
            <w:r>
              <w:rPr>
                <w:rFonts w:ascii="Arial" w:cs="Arial" w:eastAsia="Arial" w:hAnsi="Arial"/>
                <w:color w:val="16202E"/>
                <w:sz w:val="19"/>
                <w:szCs w:val="19"/>
              </w:rPr>
              <w:t xml:space="preserve">-3.0%</w:t>
            </w:r>
          </w:p>
        </w:tc>
        <w:tc>
          <w:tcPr>
            <w:tcW w:type="dxa" w:w="860"/>
            <w:tcMar>
              <w:top w:type="dxa" w:w="66"/>
              <w:left w:type="dxa" w:w="84"/>
              <w:bottom w:type="dxa" w:w="66"/>
              <w:right w:type="dxa" w:w="84"/>
            </w:tcMar>
          </w:tcPr>
          <w:p>
            <w:pPr>
              <w:spacing w:after="0" w:before="0" w:line="264"/>
              <w:jc w:val="right"/>
            </w:pPr>
            <w:r>
              <w:rPr>
                <w:rFonts w:ascii="Arial" w:cs="Arial" w:eastAsia="Arial" w:hAnsi="Arial"/>
                <w:color w:val="16202E"/>
                <w:sz w:val="19"/>
                <w:szCs w:val="19"/>
              </w:rPr>
              <w:t xml:space="preserve">+8.3%</w:t>
            </w:r>
          </w:p>
        </w:tc>
        <w:tc>
          <w:tcPr>
            <w:tcW w:type="dxa" w:w="860"/>
            <w:tcMar>
              <w:top w:type="dxa" w:w="66"/>
              <w:left w:type="dxa" w:w="84"/>
              <w:bottom w:type="dxa" w:w="66"/>
              <w:right w:type="dxa" w:w="84"/>
            </w:tcMar>
          </w:tcPr>
          <w:p>
            <w:pPr>
              <w:spacing w:after="0" w:before="0" w:line="264"/>
              <w:jc w:val="right"/>
            </w:pPr>
            <w:r>
              <w:rPr>
                <w:rFonts w:ascii="Arial" w:cs="Arial" w:eastAsia="Arial" w:hAnsi="Arial"/>
                <w:b/>
                <w:bCs/>
                <w:color w:val="2E7D5B"/>
                <w:sz w:val="19"/>
                <w:szCs w:val="19"/>
              </w:rPr>
              <w:t xml:space="preserve">+5.3%</w:t>
            </w:r>
          </w:p>
        </w:tc>
        <w:tc>
          <w:tcPr>
            <w:tcW w:type="dxa" w:w="3080"/>
            <w:tcMar>
              <w:top w:type="dxa" w:w="66"/>
              <w:left w:type="dxa" w:w="84"/>
              <w:bottom w:type="dxa" w:w="66"/>
              <w:right w:type="dxa" w:w="84"/>
            </w:tcMar>
          </w:tcPr>
          <w:p>
            <w:pPr>
              <w:spacing w:after="0" w:before="0" w:line="200"/>
            </w:pPr>
            <w:r>
              <w:rPr>
                <w:rFonts w:ascii="Arial" w:cs="Arial" w:eastAsia="Arial" w:hAnsi="Arial"/>
                <w:color w:val="6B7A8F"/>
                <w:sz w:val="14"/>
                <w:szCs w:val="14"/>
              </w:rPr>
              <w:t xml:space="preserve">Seven-year high partially retraced. Congress delivers a diluted adjustment; Banrep on hold at 12%; monthly USD put auctions lean against further strength.</w:t>
            </w:r>
          </w:p>
        </w:tc>
      </w:tr>
      <w:tr>
        <w:trPr>
          <w:cantSplit/>
        </w:trPr>
        <w:tc>
          <w:tcPr>
            <w:tcW w:type="dxa" w:w="2160"/>
            <w:tcMar>
              <w:top w:type="dxa" w:w="66"/>
              <w:left w:type="dxa" w:w="84"/>
              <w:bottom w:type="dxa" w:w="66"/>
              <w:right w:type="dxa" w:w="84"/>
            </w:tcMar>
          </w:tcPr>
          <w:p>
            <w:pPr>
              <w:spacing w:after="20" w:before="0" w:line="220"/>
            </w:pPr>
            <w:r>
              <w:rPr>
                <w:rFonts w:ascii="Arial" w:cs="Arial" w:eastAsia="Arial" w:hAnsi="Arial"/>
                <w:b/>
                <w:bCs/>
                <w:color w:val="16202E"/>
                <w:sz w:val="19"/>
                <w:szCs w:val="19"/>
              </w:rPr>
              <w:t xml:space="preserve">Bear</w:t>
            </w:r>
          </w:p>
          <w:p>
            <w:pPr>
              <w:spacing w:after="0" w:before="0" w:line="220"/>
            </w:pPr>
            <w:r>
              <w:rPr>
                <w:rFonts w:ascii="Arial" w:cs="Arial" w:eastAsia="Arial" w:hAnsi="Arial"/>
                <w:color w:val="6B7A8F"/>
                <w:sz w:val="15"/>
                <w:szCs w:val="15"/>
              </w:rPr>
              <w:t xml:space="preserve">Adjustment stalls in Congress</w:t>
            </w:r>
          </w:p>
        </w:tc>
        <w:tc>
          <w:tcPr>
            <w:tcW w:type="dxa" w:w="660"/>
            <w:tcMar>
              <w:top w:type="dxa" w:w="66"/>
              <w:left w:type="dxa" w:w="84"/>
              <w:bottom w:type="dxa" w:w="66"/>
              <w:right w:type="dxa" w:w="84"/>
            </w:tcMar>
          </w:tcPr>
          <w:p>
            <w:pPr>
              <w:spacing w:after="0" w:before="0" w:line="264"/>
              <w:jc w:val="right"/>
            </w:pPr>
            <w:r>
              <w:rPr>
                <w:rFonts w:ascii="Arial" w:cs="Arial" w:eastAsia="Arial" w:hAnsi="Arial"/>
                <w:color w:val="16202E"/>
                <w:sz w:val="19"/>
                <w:szCs w:val="19"/>
              </w:rPr>
              <w:t xml:space="preserve">25%</w:t>
            </w:r>
          </w:p>
        </w:tc>
        <w:tc>
          <w:tcPr>
            <w:tcW w:type="dxa" w:w="880"/>
            <w:tcMar>
              <w:top w:type="dxa" w:w="66"/>
              <w:left w:type="dxa" w:w="84"/>
              <w:bottom w:type="dxa" w:w="66"/>
              <w:right w:type="dxa" w:w="84"/>
            </w:tcMar>
          </w:tcPr>
          <w:p>
            <w:pPr>
              <w:spacing w:after="0" w:before="0" w:line="264"/>
              <w:jc w:val="right"/>
            </w:pPr>
            <w:r>
              <w:rPr>
                <w:rFonts w:ascii="Arial" w:cs="Arial" w:eastAsia="Arial" w:hAnsi="Arial"/>
                <w:color w:val="16202E"/>
                <w:sz w:val="19"/>
                <w:szCs w:val="19"/>
              </w:rPr>
              <w:t xml:space="preserve">3,950</w:t>
            </w:r>
          </w:p>
        </w:tc>
        <w:tc>
          <w:tcPr>
            <w:tcW w:type="dxa" w:w="860"/>
            <w:tcMar>
              <w:top w:type="dxa" w:w="66"/>
              <w:left w:type="dxa" w:w="84"/>
              <w:bottom w:type="dxa" w:w="66"/>
              <w:right w:type="dxa" w:w="84"/>
            </w:tcMar>
          </w:tcPr>
          <w:p>
            <w:pPr>
              <w:spacing w:after="0" w:before="0" w:line="264"/>
              <w:jc w:val="right"/>
            </w:pPr>
            <w:r>
              <w:rPr>
                <w:rFonts w:ascii="Arial" w:cs="Arial" w:eastAsia="Arial" w:hAnsi="Arial"/>
                <w:color w:val="16202E"/>
                <w:sz w:val="19"/>
                <w:szCs w:val="19"/>
              </w:rPr>
              <w:t xml:space="preserve">-20.2%</w:t>
            </w:r>
          </w:p>
        </w:tc>
        <w:tc>
          <w:tcPr>
            <w:tcW w:type="dxa" w:w="860"/>
            <w:tcMar>
              <w:top w:type="dxa" w:w="66"/>
              <w:left w:type="dxa" w:w="84"/>
              <w:bottom w:type="dxa" w:w="66"/>
              <w:right w:type="dxa" w:w="84"/>
            </w:tcMar>
          </w:tcPr>
          <w:p>
            <w:pPr>
              <w:spacing w:after="0" w:before="0" w:line="264"/>
              <w:jc w:val="right"/>
            </w:pPr>
            <w:r>
              <w:rPr>
                <w:rFonts w:ascii="Arial" w:cs="Arial" w:eastAsia="Arial" w:hAnsi="Arial"/>
                <w:color w:val="16202E"/>
                <w:sz w:val="19"/>
                <w:szCs w:val="19"/>
              </w:rPr>
              <w:t xml:space="preserve">+6.8%</w:t>
            </w:r>
          </w:p>
        </w:tc>
        <w:tc>
          <w:tcPr>
            <w:tcW w:type="dxa" w:w="860"/>
            <w:tcMar>
              <w:top w:type="dxa" w:w="66"/>
              <w:left w:type="dxa" w:w="84"/>
              <w:bottom w:type="dxa" w:w="66"/>
              <w:right w:type="dxa" w:w="84"/>
            </w:tcMar>
          </w:tcPr>
          <w:p>
            <w:pPr>
              <w:spacing w:after="0" w:before="0" w:line="264"/>
              <w:jc w:val="right"/>
            </w:pPr>
            <w:r>
              <w:rPr>
                <w:rFonts w:ascii="Arial" w:cs="Arial" w:eastAsia="Arial" w:hAnsi="Arial"/>
                <w:b/>
                <w:bCs/>
                <w:color w:val="E60000"/>
                <w:sz w:val="19"/>
                <w:szCs w:val="19"/>
              </w:rPr>
              <w:t xml:space="preserve">-13.4%</w:t>
            </w:r>
          </w:p>
        </w:tc>
        <w:tc>
          <w:tcPr>
            <w:tcW w:type="dxa" w:w="3080"/>
            <w:tcMar>
              <w:top w:type="dxa" w:w="66"/>
              <w:left w:type="dxa" w:w="84"/>
              <w:bottom w:type="dxa" w:w="66"/>
              <w:right w:type="dxa" w:w="84"/>
            </w:tcMar>
          </w:tcPr>
          <w:p>
            <w:pPr>
              <w:spacing w:after="0" w:before="0" w:line="200"/>
            </w:pPr>
            <w:r>
              <w:rPr>
                <w:rFonts w:ascii="Arial" w:cs="Arial" w:eastAsia="Arial" w:hAnsi="Arial"/>
                <w:color w:val="6B7A8F"/>
                <w:sz w:val="14"/>
                <w:szCs w:val="14"/>
              </w:rPr>
              <w:t xml:space="preserve">Pacto Historico blocks the fiscal package; rule stays suspended; further downgrade below BB-; oil shock. Still 23% inside the 2025 high.</w:t>
            </w:r>
          </w:p>
        </w:tc>
      </w:tr>
      <w:tr>
        <w:trPr>
          <w:cantSplit/>
        </w:trPr>
        <w:tc>
          <w:tcPr>
            <w:tcW w:type="dxa" w:w="2160"/>
            <w:shd w:fill="F5F7FA" w:color="auto" w:val="clear"/>
            <w:tcMar>
              <w:top w:type="dxa" w:w="66"/>
              <w:left w:type="dxa" w:w="84"/>
              <w:bottom w:type="dxa" w:w="66"/>
              <w:right w:type="dxa" w:w="84"/>
            </w:tcMar>
          </w:tcPr>
          <w:p>
            <w:pPr>
              <w:spacing w:after="0" w:before="0" w:line="264"/>
            </w:pPr>
            <w:r>
              <w:rPr>
                <w:rFonts w:ascii="Arial" w:cs="Arial" w:eastAsia="Arial" w:hAnsi="Arial"/>
                <w:b/>
                <w:bCs/>
                <w:color w:val="16202E"/>
                <w:sz w:val="19"/>
                <w:szCs w:val="19"/>
              </w:rPr>
              <w:t xml:space="preserve">Probability weighted</w:t>
            </w:r>
          </w:p>
        </w:tc>
        <w:tc>
          <w:tcPr>
            <w:tcW w:type="dxa" w:w="660"/>
            <w:shd w:fill="F5F7FA" w:color="auto" w:val="clear"/>
            <w:tcMar>
              <w:top w:type="dxa" w:w="66"/>
              <w:left w:type="dxa" w:w="84"/>
              <w:bottom w:type="dxa" w:w="66"/>
              <w:right w:type="dxa" w:w="84"/>
            </w:tcMar>
          </w:tcPr>
          <w:p>
            <w:pPr>
              <w:spacing w:after="0" w:before="0" w:line="264"/>
              <w:jc w:val="right"/>
            </w:pPr>
            <w:r>
              <w:rPr>
                <w:rFonts w:ascii="Arial" w:cs="Arial" w:eastAsia="Arial" w:hAnsi="Arial"/>
                <w:color w:val="16202E"/>
                <w:sz w:val="19"/>
                <w:szCs w:val="19"/>
              </w:rPr>
              <w:t xml:space="preserve">100%</w:t>
            </w:r>
          </w:p>
        </w:tc>
        <w:tc>
          <w:tcPr>
            <w:tcW w:type="dxa" w:w="880"/>
            <w:shd w:fill="F5F7FA" w:color="auto" w:val="clear"/>
            <w:tcMar>
              <w:top w:type="dxa" w:w="66"/>
              <w:left w:type="dxa" w:w="84"/>
              <w:bottom w:type="dxa" w:w="66"/>
              <w:right w:type="dxa" w:w="84"/>
            </w:tcMar>
          </w:tcPr>
          <w:p>
            <w:pPr>
              <w:spacing w:after="0" w:before="0" w:line="264"/>
            </w:pPr>
            <w:r>
              <w:rPr>
                <w:rFonts w:ascii="Arial" w:cs="Arial" w:eastAsia="Arial" w:hAnsi="Arial"/>
                <w:color w:val="16202E"/>
                <w:sz w:val="20"/>
                <w:szCs w:val="20"/>
              </w:rPr>
              <w:t xml:space="preserve"/>
            </w:r>
          </w:p>
        </w:tc>
        <w:tc>
          <w:tcPr>
            <w:tcW w:type="dxa" w:w="860"/>
            <w:shd w:fill="F5F7FA" w:color="auto" w:val="clear"/>
            <w:tcMar>
              <w:top w:type="dxa" w:w="66"/>
              <w:left w:type="dxa" w:w="84"/>
              <w:bottom w:type="dxa" w:w="66"/>
              <w:right w:type="dxa" w:w="84"/>
            </w:tcMar>
          </w:tcPr>
          <w:p>
            <w:pPr>
              <w:spacing w:after="0" w:before="0" w:line="264"/>
            </w:pPr>
            <w:r>
              <w:rPr>
                <w:rFonts w:ascii="Arial" w:cs="Arial" w:eastAsia="Arial" w:hAnsi="Arial"/>
                <w:color w:val="16202E"/>
                <w:sz w:val="20"/>
                <w:szCs w:val="20"/>
              </w:rPr>
              <w:t xml:space="preserve"/>
            </w:r>
          </w:p>
        </w:tc>
        <w:tc>
          <w:tcPr>
            <w:tcW w:type="dxa" w:w="860"/>
            <w:shd w:fill="F5F7FA" w:color="auto" w:val="clear"/>
            <w:tcMar>
              <w:top w:type="dxa" w:w="66"/>
              <w:left w:type="dxa" w:w="84"/>
              <w:bottom w:type="dxa" w:w="66"/>
              <w:right w:type="dxa" w:w="84"/>
            </w:tcMar>
          </w:tcPr>
          <w:p>
            <w:pPr>
              <w:spacing w:after="0" w:before="0" w:line="264"/>
            </w:pPr>
            <w:r>
              <w:rPr>
                <w:rFonts w:ascii="Arial" w:cs="Arial" w:eastAsia="Arial" w:hAnsi="Arial"/>
                <w:color w:val="16202E"/>
                <w:sz w:val="20"/>
                <w:szCs w:val="20"/>
              </w:rPr>
              <w:t xml:space="preserve"/>
            </w:r>
          </w:p>
        </w:tc>
        <w:tc>
          <w:tcPr>
            <w:tcW w:type="dxa" w:w="860"/>
            <w:shd w:fill="F5F7FA" w:color="auto" w:val="clear"/>
            <w:tcMar>
              <w:top w:type="dxa" w:w="66"/>
              <w:left w:type="dxa" w:w="84"/>
              <w:bottom w:type="dxa" w:w="66"/>
              <w:right w:type="dxa" w:w="84"/>
            </w:tcMar>
          </w:tcPr>
          <w:p>
            <w:pPr>
              <w:spacing w:after="0" w:before="0" w:line="264"/>
              <w:jc w:val="right"/>
            </w:pPr>
            <w:r>
              <w:rPr>
                <w:rFonts w:ascii="Arial" w:cs="Arial" w:eastAsia="Arial" w:hAnsi="Arial"/>
                <w:b/>
                <w:bCs/>
                <w:color w:val="1F3B63"/>
                <w:sz w:val="19"/>
                <w:szCs w:val="19"/>
              </w:rPr>
              <w:t xml:space="preserve">+2.8%</w:t>
            </w:r>
          </w:p>
        </w:tc>
        <w:tc>
          <w:tcPr>
            <w:tcW w:type="dxa" w:w="3080"/>
            <w:shd w:fill="F5F7FA" w:color="auto" w:val="clear"/>
            <w:tcMar>
              <w:top w:type="dxa" w:w="66"/>
              <w:left w:type="dxa" w:w="84"/>
              <w:bottom w:type="dxa" w:w="66"/>
              <w:right w:type="dxa" w:w="84"/>
            </w:tcMar>
          </w:tcPr>
          <w:p>
            <w:pPr>
              <w:spacing w:after="0" w:before="0" w:line="264"/>
            </w:pPr>
            <w:r>
              <w:rPr>
                <w:rFonts w:ascii="Arial" w:cs="Arial" w:eastAsia="Arial" w:hAnsi="Arial"/>
                <w:color w:val="16202E"/>
                <w:sz w:val="20"/>
                <w:szCs w:val="20"/>
              </w:rPr>
              <w:t xml:space="preserve"/>
            </w:r>
          </w:p>
        </w:tc>
      </w:tr>
    </w:tbl>
    <w:p>
      <w:pPr>
        <w:spacing w:after="160" w:before="0" w:line="264"/>
      </w:pPr>
      <w:r>
        <w:rPr>
          <w:rFonts w:ascii="Arial" w:cs="Arial" w:eastAsia="Arial" w:hAnsi="Arial"/>
          <w:color w:val="16202E"/>
          <w:sz w:val="20"/>
          <w:szCs w:val="20"/>
        </w:rPr>
        <w:t xml:space="preserve"/>
      </w:r>
    </w:p>
    <w:p>
      <w:pPr>
        <w:keepNext/>
        <w:pBdr>
          <w:bottom w:val="single" w:color="D8DEE7" w:sz="6" w:space="4"/>
        </w:pBdr>
        <w:spacing w:after="110" w:before="240"/>
      </w:pPr>
      <w:r>
        <w:rPr>
          <w:rFonts w:ascii="Arial" w:cs="Arial" w:eastAsia="Arial" w:hAnsi="Arial"/>
          <w:b/>
          <w:bCs/>
          <w:color w:val="E60000"/>
          <w:sz w:val="21"/>
          <w:szCs w:val="21"/>
        </w:rPr>
        <w:t xml:space="preserve">What you have to believe to say no</w:t>
      </w:r>
    </w:p>
    <w:p>
      <w:pPr>
        <w:spacing w:after="120" w:before="0" w:line="264"/>
      </w:pPr>
      <w:r>
        <w:rPr>
          <w:rFonts w:ascii="Arial" w:cs="Arial" w:eastAsia="Arial" w:hAnsi="Arial"/>
          <w:color w:val="6B7A8F"/>
          <w:sz w:val="19"/>
          <w:szCs w:val="19"/>
        </w:rPr>
        <w:t xml:space="preserve">Expected return holding the bull at 20% and shifting weight from base to bear:</w:t>
      </w:r>
    </w:p>
    <w:tbl>
      <w:tblPr>
        <w:tblW w:type="dxa" w:w="9360"/>
        <w:tblBorders>
          <w:top w:val="single" w:color="D8DEE7" w:sz="4"/>
          <w:left w:val="none" w:color="FFFFFF" w:sz="0"/>
          <w:bottom w:val="single" w:color="D8DEE7" w:sz="4"/>
          <w:right w:val="none" w:color="FFFFFF" w:sz="0"/>
          <w:insideH w:val="single" w:color="D8DEE7" w:sz="4"/>
          <w:insideV w:val="single" w:color="D8DEE7" w:sz="4"/>
        </w:tblBorders>
      </w:tblPr>
      <w:tblGrid>
        <w:gridCol w:w="1040"/>
        <w:gridCol w:w="1040"/>
        <w:gridCol w:w="1040"/>
        <w:gridCol w:w="1040"/>
        <w:gridCol w:w="1040"/>
        <w:gridCol w:w="1040"/>
        <w:gridCol w:w="1040"/>
        <w:gridCol w:w="1040"/>
        <w:gridCol w:w="1040"/>
      </w:tblGrid>
      <w:tr>
        <w:tc>
          <w:tcPr>
            <w:tcW w:type="dxa" w:w="1040"/>
            <w:tcMar>
              <w:top w:type="dxa" w:w="66"/>
              <w:left w:type="dxa" w:w="84"/>
              <w:bottom w:type="dxa" w:w="66"/>
              <w:right w:type="dxa" w:w="84"/>
            </w:tcMar>
          </w:tcPr>
          <w:p>
            <w:pPr>
              <w:spacing w:after="0" w:before="0" w:line="264"/>
            </w:pPr>
            <w:r>
              <w:rPr>
                <w:rFonts w:ascii="Arial" w:cs="Arial" w:eastAsia="Arial" w:hAnsi="Arial"/>
                <w:color w:val="6B7A8F"/>
                <w:sz w:val="15"/>
                <w:szCs w:val="15"/>
              </w:rPr>
              <w:t xml:space="preserve">Bear probability</w:t>
            </w:r>
          </w:p>
        </w:tc>
        <w:tc>
          <w:tcPr>
            <w:tcW w:type="dxa" w:w="1040"/>
            <w:tcMar>
              <w:top w:type="dxa" w:w="66"/>
              <w:left w:type="dxa" w:w="84"/>
              <w:bottom w:type="dxa" w:w="66"/>
              <w:right w:type="dxa" w:w="84"/>
            </w:tcMar>
          </w:tcPr>
          <w:p>
            <w:pPr>
              <w:spacing w:after="0" w:before="0" w:line="264"/>
              <w:jc w:val="center"/>
            </w:pPr>
            <w:r>
              <w:rPr>
                <w:rFonts w:ascii="Arial" w:cs="Arial" w:eastAsia="Arial" w:hAnsi="Arial"/>
                <w:color w:val="16202E"/>
                <w:sz w:val="17"/>
                <w:szCs w:val="17"/>
              </w:rPr>
              <w:t xml:space="preserve">10%</w:t>
            </w:r>
          </w:p>
        </w:tc>
        <w:tc>
          <w:tcPr>
            <w:tcW w:type="dxa" w:w="1040"/>
            <w:tcMar>
              <w:top w:type="dxa" w:w="66"/>
              <w:left w:type="dxa" w:w="84"/>
              <w:bottom w:type="dxa" w:w="66"/>
              <w:right w:type="dxa" w:w="84"/>
            </w:tcMar>
          </w:tcPr>
          <w:p>
            <w:pPr>
              <w:spacing w:after="0" w:before="0" w:line="264"/>
              <w:jc w:val="center"/>
            </w:pPr>
            <w:r>
              <w:rPr>
                <w:rFonts w:ascii="Arial" w:cs="Arial" w:eastAsia="Arial" w:hAnsi="Arial"/>
                <w:color w:val="16202E"/>
                <w:sz w:val="17"/>
                <w:szCs w:val="17"/>
              </w:rPr>
              <w:t xml:space="preserve">15%</w:t>
            </w:r>
          </w:p>
        </w:tc>
        <w:tc>
          <w:tcPr>
            <w:tcW w:type="dxa" w:w="1040"/>
            <w:tcMar>
              <w:top w:type="dxa" w:w="66"/>
              <w:left w:type="dxa" w:w="84"/>
              <w:bottom w:type="dxa" w:w="66"/>
              <w:right w:type="dxa" w:w="84"/>
            </w:tcMar>
          </w:tcPr>
          <w:p>
            <w:pPr>
              <w:spacing w:after="0" w:before="0" w:line="264"/>
              <w:jc w:val="center"/>
            </w:pPr>
            <w:r>
              <w:rPr>
                <w:rFonts w:ascii="Arial" w:cs="Arial" w:eastAsia="Arial" w:hAnsi="Arial"/>
                <w:color w:val="16202E"/>
                <w:sz w:val="17"/>
                <w:szCs w:val="17"/>
              </w:rPr>
              <w:t xml:space="preserve">20%</w:t>
            </w:r>
          </w:p>
        </w:tc>
        <w:tc>
          <w:tcPr>
            <w:tcW w:type="dxa" w:w="1040"/>
            <w:tcMar>
              <w:top w:type="dxa" w:w="66"/>
              <w:left w:type="dxa" w:w="84"/>
              <w:bottom w:type="dxa" w:w="66"/>
              <w:right w:type="dxa" w:w="84"/>
            </w:tcMar>
          </w:tcPr>
          <w:p>
            <w:pPr>
              <w:spacing w:after="0" w:before="0" w:line="264"/>
              <w:jc w:val="center"/>
            </w:pPr>
            <w:r>
              <w:rPr>
                <w:rFonts w:ascii="Arial" w:cs="Arial" w:eastAsia="Arial" w:hAnsi="Arial"/>
                <w:color w:val="16202E"/>
                <w:sz w:val="17"/>
                <w:szCs w:val="17"/>
              </w:rPr>
              <w:t xml:space="preserve">25%</w:t>
            </w:r>
          </w:p>
        </w:tc>
        <w:tc>
          <w:tcPr>
            <w:tcW w:type="dxa" w:w="1040"/>
            <w:tcMar>
              <w:top w:type="dxa" w:w="66"/>
              <w:left w:type="dxa" w:w="84"/>
              <w:bottom w:type="dxa" w:w="66"/>
              <w:right w:type="dxa" w:w="84"/>
            </w:tcMar>
          </w:tcPr>
          <w:p>
            <w:pPr>
              <w:spacing w:after="0" w:before="0" w:line="264"/>
              <w:jc w:val="center"/>
            </w:pPr>
            <w:r>
              <w:rPr>
                <w:rFonts w:ascii="Arial" w:cs="Arial" w:eastAsia="Arial" w:hAnsi="Arial"/>
                <w:color w:val="16202E"/>
                <w:sz w:val="17"/>
                <w:szCs w:val="17"/>
              </w:rPr>
              <w:t xml:space="preserve">30%</w:t>
            </w:r>
          </w:p>
        </w:tc>
        <w:tc>
          <w:tcPr>
            <w:tcW w:type="dxa" w:w="1040"/>
            <w:tcMar>
              <w:top w:type="dxa" w:w="66"/>
              <w:left w:type="dxa" w:w="84"/>
              <w:bottom w:type="dxa" w:w="66"/>
              <w:right w:type="dxa" w:w="84"/>
            </w:tcMar>
          </w:tcPr>
          <w:p>
            <w:pPr>
              <w:spacing w:after="0" w:before="0" w:line="264"/>
              <w:jc w:val="center"/>
            </w:pPr>
            <w:r>
              <w:rPr>
                <w:rFonts w:ascii="Arial" w:cs="Arial" w:eastAsia="Arial" w:hAnsi="Arial"/>
                <w:color w:val="16202E"/>
                <w:sz w:val="17"/>
                <w:szCs w:val="17"/>
              </w:rPr>
              <w:t xml:space="preserve">35%</w:t>
            </w:r>
          </w:p>
        </w:tc>
        <w:tc>
          <w:tcPr>
            <w:tcW w:type="dxa" w:w="1040"/>
            <w:tcMar>
              <w:top w:type="dxa" w:w="66"/>
              <w:left w:type="dxa" w:w="84"/>
              <w:bottom w:type="dxa" w:w="66"/>
              <w:right w:type="dxa" w:w="84"/>
            </w:tcMar>
          </w:tcPr>
          <w:p>
            <w:pPr>
              <w:spacing w:after="0" w:before="0" w:line="264"/>
              <w:jc w:val="center"/>
            </w:pPr>
            <w:r>
              <w:rPr>
                <w:rFonts w:ascii="Arial" w:cs="Arial" w:eastAsia="Arial" w:hAnsi="Arial"/>
                <w:color w:val="16202E"/>
                <w:sz w:val="17"/>
                <w:szCs w:val="17"/>
              </w:rPr>
              <w:t xml:space="preserve">40%</w:t>
            </w:r>
          </w:p>
        </w:tc>
        <w:tc>
          <w:tcPr>
            <w:tcW w:type="dxa" w:w="1040"/>
            <w:tcMar>
              <w:top w:type="dxa" w:w="66"/>
              <w:left w:type="dxa" w:w="84"/>
              <w:bottom w:type="dxa" w:w="66"/>
              <w:right w:type="dxa" w:w="84"/>
            </w:tcMar>
          </w:tcPr>
          <w:p>
            <w:pPr>
              <w:spacing w:after="0" w:before="0" w:line="264"/>
              <w:jc w:val="center"/>
            </w:pPr>
            <w:r>
              <w:rPr>
                <w:rFonts w:ascii="Arial" w:cs="Arial" w:eastAsia="Arial" w:hAnsi="Arial"/>
                <w:color w:val="16202E"/>
                <w:sz w:val="17"/>
                <w:szCs w:val="17"/>
              </w:rPr>
              <w:t xml:space="preserve">45%</w:t>
            </w:r>
          </w:p>
        </w:tc>
      </w:tr>
      <w:tr>
        <w:tc>
          <w:tcPr>
            <w:tcW w:type="dxa" w:w="1040"/>
            <w:tcMar>
              <w:top w:type="dxa" w:w="66"/>
              <w:left w:type="dxa" w:w="84"/>
              <w:bottom w:type="dxa" w:w="66"/>
              <w:right w:type="dxa" w:w="84"/>
            </w:tcMar>
          </w:tcPr>
          <w:p>
            <w:pPr>
              <w:spacing w:after="0" w:before="0" w:line="264"/>
            </w:pPr>
            <w:r>
              <w:rPr>
                <w:rFonts w:ascii="Arial" w:cs="Arial" w:eastAsia="Arial" w:hAnsi="Arial"/>
                <w:color w:val="6B7A8F"/>
                <w:sz w:val="15"/>
                <w:szCs w:val="15"/>
              </w:rPr>
              <w:t xml:space="preserve">Expected return</w:t>
            </w:r>
          </w:p>
        </w:tc>
        <w:tc>
          <w:tcPr>
            <w:tcW w:type="dxa" w:w="1040"/>
            <w:tcMar>
              <w:top w:type="dxa" w:w="66"/>
              <w:left w:type="dxa" w:w="84"/>
              <w:bottom w:type="dxa" w:w="66"/>
              <w:right w:type="dxa" w:w="84"/>
            </w:tcMar>
          </w:tcPr>
          <w:p>
            <w:pPr>
              <w:spacing w:after="0" w:before="0" w:line="264"/>
              <w:jc w:val="center"/>
            </w:pPr>
            <w:r>
              <w:rPr>
                <w:rFonts w:ascii="Arial" w:cs="Arial" w:eastAsia="Arial" w:hAnsi="Arial"/>
                <w:b/>
                <w:bCs/>
                <w:color w:val="2E7D5B"/>
                <w:sz w:val="17"/>
                <w:szCs w:val="17"/>
              </w:rPr>
              <w:t xml:space="preserve">+5.6%</w:t>
            </w:r>
          </w:p>
        </w:tc>
        <w:tc>
          <w:tcPr>
            <w:tcW w:type="dxa" w:w="1040"/>
            <w:tcMar>
              <w:top w:type="dxa" w:w="66"/>
              <w:left w:type="dxa" w:w="84"/>
              <w:bottom w:type="dxa" w:w="66"/>
              <w:right w:type="dxa" w:w="84"/>
            </w:tcMar>
          </w:tcPr>
          <w:p>
            <w:pPr>
              <w:spacing w:after="0" w:before="0" w:line="264"/>
              <w:jc w:val="center"/>
            </w:pPr>
            <w:r>
              <w:rPr>
                <w:rFonts w:ascii="Arial" w:cs="Arial" w:eastAsia="Arial" w:hAnsi="Arial"/>
                <w:b/>
                <w:bCs/>
                <w:color w:val="2E7D5B"/>
                <w:sz w:val="17"/>
                <w:szCs w:val="17"/>
              </w:rPr>
              <w:t xml:space="preserve">+4.6%</w:t>
            </w:r>
          </w:p>
        </w:tc>
        <w:tc>
          <w:tcPr>
            <w:tcW w:type="dxa" w:w="1040"/>
            <w:tcMar>
              <w:top w:type="dxa" w:w="66"/>
              <w:left w:type="dxa" w:w="84"/>
              <w:bottom w:type="dxa" w:w="66"/>
              <w:right w:type="dxa" w:w="84"/>
            </w:tcMar>
          </w:tcPr>
          <w:p>
            <w:pPr>
              <w:spacing w:after="0" w:before="0" w:line="264"/>
              <w:jc w:val="center"/>
            </w:pPr>
            <w:r>
              <w:rPr>
                <w:rFonts w:ascii="Arial" w:cs="Arial" w:eastAsia="Arial" w:hAnsi="Arial"/>
                <w:b/>
                <w:bCs/>
                <w:color w:val="2E7D5B"/>
                <w:sz w:val="17"/>
                <w:szCs w:val="17"/>
              </w:rPr>
              <w:t xml:space="preserve">+3.7%</w:t>
            </w:r>
          </w:p>
        </w:tc>
        <w:tc>
          <w:tcPr>
            <w:tcW w:type="dxa" w:w="1040"/>
            <w:tcMar>
              <w:top w:type="dxa" w:w="66"/>
              <w:left w:type="dxa" w:w="84"/>
              <w:bottom w:type="dxa" w:w="66"/>
              <w:right w:type="dxa" w:w="84"/>
            </w:tcMar>
          </w:tcPr>
          <w:p>
            <w:pPr>
              <w:spacing w:after="0" w:before="0" w:line="264"/>
              <w:jc w:val="center"/>
            </w:pPr>
            <w:r>
              <w:rPr>
                <w:rFonts w:ascii="Arial" w:cs="Arial" w:eastAsia="Arial" w:hAnsi="Arial"/>
                <w:b/>
                <w:bCs/>
                <w:color w:val="2E7D5B"/>
                <w:sz w:val="17"/>
                <w:szCs w:val="17"/>
              </w:rPr>
              <w:t xml:space="preserve">+2.8%</w:t>
            </w:r>
          </w:p>
        </w:tc>
        <w:tc>
          <w:tcPr>
            <w:tcW w:type="dxa" w:w="1040"/>
            <w:tcMar>
              <w:top w:type="dxa" w:w="66"/>
              <w:left w:type="dxa" w:w="84"/>
              <w:bottom w:type="dxa" w:w="66"/>
              <w:right w:type="dxa" w:w="84"/>
            </w:tcMar>
          </w:tcPr>
          <w:p>
            <w:pPr>
              <w:spacing w:after="0" w:before="0" w:line="264"/>
              <w:jc w:val="center"/>
            </w:pPr>
            <w:r>
              <w:rPr>
                <w:rFonts w:ascii="Arial" w:cs="Arial" w:eastAsia="Arial" w:hAnsi="Arial"/>
                <w:b/>
                <w:bCs/>
                <w:color w:val="2E7D5B"/>
                <w:sz w:val="17"/>
                <w:szCs w:val="17"/>
              </w:rPr>
              <w:t xml:space="preserve">+1.8%</w:t>
            </w:r>
          </w:p>
        </w:tc>
        <w:tc>
          <w:tcPr>
            <w:tcW w:type="dxa" w:w="1040"/>
            <w:tcMar>
              <w:top w:type="dxa" w:w="66"/>
              <w:left w:type="dxa" w:w="84"/>
              <w:bottom w:type="dxa" w:w="66"/>
              <w:right w:type="dxa" w:w="84"/>
            </w:tcMar>
          </w:tcPr>
          <w:p>
            <w:pPr>
              <w:spacing w:after="0" w:before="0" w:line="264"/>
              <w:jc w:val="center"/>
            </w:pPr>
            <w:r>
              <w:rPr>
                <w:rFonts w:ascii="Arial" w:cs="Arial" w:eastAsia="Arial" w:hAnsi="Arial"/>
                <w:b/>
                <w:bCs/>
                <w:color w:val="2E7D5B"/>
                <w:sz w:val="17"/>
                <w:szCs w:val="17"/>
              </w:rPr>
              <w:t xml:space="preserve">+0.9%</w:t>
            </w:r>
          </w:p>
        </w:tc>
        <w:tc>
          <w:tcPr>
            <w:tcW w:type="dxa" w:w="1040"/>
            <w:tcMar>
              <w:top w:type="dxa" w:w="66"/>
              <w:left w:type="dxa" w:w="84"/>
              <w:bottom w:type="dxa" w:w="66"/>
              <w:right w:type="dxa" w:w="84"/>
            </w:tcMar>
          </w:tcPr>
          <w:p>
            <w:pPr>
              <w:spacing w:after="0" w:before="0" w:line="264"/>
              <w:jc w:val="center"/>
            </w:pPr>
            <w:r>
              <w:rPr>
                <w:rFonts w:ascii="Arial" w:cs="Arial" w:eastAsia="Arial" w:hAnsi="Arial"/>
                <w:b/>
                <w:bCs/>
                <w:color w:val="E60000"/>
                <w:sz w:val="17"/>
                <w:szCs w:val="17"/>
              </w:rPr>
              <w:t xml:space="preserve">-0.0%</w:t>
            </w:r>
          </w:p>
        </w:tc>
        <w:tc>
          <w:tcPr>
            <w:tcW w:type="dxa" w:w="1040"/>
            <w:tcMar>
              <w:top w:type="dxa" w:w="66"/>
              <w:left w:type="dxa" w:w="84"/>
              <w:bottom w:type="dxa" w:w="66"/>
              <w:right w:type="dxa" w:w="84"/>
            </w:tcMar>
          </w:tcPr>
          <w:p>
            <w:pPr>
              <w:spacing w:after="0" w:before="0" w:line="264"/>
              <w:jc w:val="center"/>
            </w:pPr>
            <w:r>
              <w:rPr>
                <w:rFonts w:ascii="Arial" w:cs="Arial" w:eastAsia="Arial" w:hAnsi="Arial"/>
                <w:b/>
                <w:bCs/>
                <w:color w:val="E60000"/>
                <w:sz w:val="17"/>
                <w:szCs w:val="17"/>
              </w:rPr>
              <w:t xml:space="preserve">-1.0%</w:t>
            </w:r>
          </w:p>
        </w:tc>
      </w:tr>
    </w:tbl>
    <w:p>
      <w:pPr>
        <w:spacing w:after="120" w:before="140" w:line="264"/>
      </w:pPr>
      <w:r>
        <w:rPr>
          <w:rFonts w:ascii="Arial" w:cs="Arial" w:eastAsia="Arial" w:hAnsi="Arial"/>
          <w:color w:val="16202E"/>
          <w:sz w:val="19"/>
          <w:szCs w:val="19"/>
        </w:rPr>
        <w:t xml:space="preserve">Expected return turns negative only above roughly </w:t>
      </w:r>
      <w:r>
        <w:rPr>
          <w:rFonts w:ascii="Arial" w:cs="Arial" w:eastAsia="Arial" w:hAnsi="Arial"/>
          <w:b/>
          <w:bCs/>
          <w:color w:val="E60000"/>
          <w:sz w:val="19"/>
          <w:szCs w:val="19"/>
        </w:rPr>
        <w:t xml:space="preserve">40%</w:t>
      </w:r>
      <w:r>
        <w:rPr>
          <w:rFonts w:ascii="Arial" w:cs="Arial" w:eastAsia="Arial" w:hAnsi="Arial"/>
          <w:color w:val="16202E"/>
          <w:sz w:val="19"/>
          <w:szCs w:val="19"/>
        </w:rPr>
        <w:t xml:space="preserve"> weight on a full round-trip to 3,950 — a level Colombia traded through as recently as January. That is the honest test of the trade, and it is a demanding one.</w:t>
      </w:r>
    </w:p>
    <w:p>
      <w:pPr>
        <w:keepNext/>
        <w:pBdr>
          <w:bottom w:val="single" w:color="D8DEE7" w:sz="6" w:space="4"/>
        </w:pBdr>
        <w:spacing w:after="110" w:before="240"/>
      </w:pPr>
      <w:r>
        <w:rPr>
          <w:rFonts w:ascii="Arial" w:cs="Arial" w:eastAsia="Arial" w:hAnsi="Arial"/>
          <w:b/>
          <w:bCs/>
          <w:color w:val="E60000"/>
          <w:sz w:val="21"/>
          <w:szCs w:val="21"/>
        </w:rPr>
        <w:t xml:space="preserve">The differentiator is not the level of carry. It is the direction.</w:t>
      </w:r>
    </w:p>
    <w:p>
      <w:pPr>
        <w:pStyle w:val="ListParagraph"/>
        <w:numPr>
          <w:ilvl w:val="0"/>
          <w:numId w:val="2"/>
        </w:numPr>
        <w:spacing w:after="130" w:line="264"/>
      </w:pPr>
      <w:r>
        <w:rPr>
          <w:rFonts w:ascii="Arial" w:cs="Arial" w:eastAsia="Arial" w:hAnsi="Arial"/>
          <w:b/>
          <w:bCs/>
          <w:color w:val="16202E"/>
          <w:sz w:val="20"/>
          <w:szCs w:val="20"/>
        </w:rPr>
        <w:t xml:space="preserve">COP is not the highest-carry EM currency, and the note should not claim it is. </w:t>
      </w:r>
      <w:r>
        <w:rPr>
          <w:rFonts w:ascii="Arial" w:cs="Arial" w:eastAsia="Arial" w:hAnsi="Arial"/>
          <w:color w:val="16202E"/>
          <w:sz w:val="20"/>
          <w:szCs w:val="20"/>
        </w:rPr>
        <w:t xml:space="preserve">Brazil pays more: Selic at 14.00% against 1y SOFR at 4.02% is roughly 10.0% nominal, against 8.57% here. Turkey, Egypt and Nigeria are multiples higher. Mexico, at a 6.50% policy rate, is not in the conversation.</w:t>
      </w:r>
    </w:p>
    <w:p>
      <w:pPr>
        <w:pStyle w:val="ListParagraph"/>
        <w:numPr>
          <w:ilvl w:val="0"/>
          <w:numId w:val="2"/>
        </w:numPr>
        <w:spacing w:after="130" w:line="264"/>
      </w:pPr>
      <w:r>
        <w:rPr>
          <w:rFonts w:ascii="Arial" w:cs="Arial" w:eastAsia="Arial" w:hAnsi="Arial"/>
          <w:b/>
          <w:bCs/>
          <w:color w:val="16202E"/>
          <w:sz w:val="20"/>
          <w:szCs w:val="20"/>
        </w:rPr>
        <w:t xml:space="preserve">COP is the only major LatAm carry currency whose central bank is still tightening. </w:t>
      </w:r>
      <w:r>
        <w:rPr>
          <w:rFonts w:ascii="Arial" w:cs="Arial" w:eastAsia="Arial" w:hAnsi="Arial"/>
          <w:color w:val="16202E"/>
          <w:sz w:val="20"/>
          <w:szCs w:val="20"/>
        </w:rPr>
        <w:t xml:space="preserve">Banrep has raised 175bp this year — 100bp in March to 11.25%, 75bp in June to 12.00% — and held on 31 July on a 4–3 vote, with three directors wanting a further 50bp. Copom has cut four consecutive meetings to 14.00% and the Focus survey sees 13.75% by December. Over a 12-month horizon the BRL cushion decays and the COP cushion does not. That is the case, not the headline number.</w:t>
      </w:r>
    </w:p>
    <w:p>
      <w:pPr>
        <w:pStyle w:val="ListParagraph"/>
        <w:numPr>
          <w:ilvl w:val="0"/>
          <w:numId w:val="2"/>
        </w:numPr>
        <w:spacing w:after="130" w:line="264"/>
      </w:pPr>
      <w:r>
        <w:rPr>
          <w:rFonts w:ascii="Arial" w:cs="Arial" w:eastAsia="Arial" w:hAnsi="Arial"/>
          <w:b/>
          <w:bCs/>
          <w:color w:val="16202E"/>
          <w:sz w:val="20"/>
          <w:szCs w:val="20"/>
        </w:rPr>
        <w:t xml:space="preserve">The offsetting official constraint is explicit. </w:t>
      </w:r>
      <w:r>
        <w:rPr>
          <w:rFonts w:ascii="Arial" w:cs="Arial" w:eastAsia="Arial" w:hAnsi="Arial"/>
          <w:color w:val="16202E"/>
          <w:sz w:val="20"/>
          <w:szCs w:val="20"/>
        </w:rPr>
        <w:t xml:space="preserve">Banrep announced a programme to accumulate up to USD 4bn of reserves over two years through monthly put auctions, the first on 3 August for up to USD 400mn. The central bank has chosen to lean against peso strength with the balance sheet rather than the policy rate. That caps the bull case and should be stated as the reason it is capped.</w:t>
      </w:r>
    </w:p>
    <w:p>
      <w:pPr>
        <w:pStyle w:val="ListParagraph"/>
        <w:numPr>
          <w:ilvl w:val="0"/>
          <w:numId w:val="2"/>
        </w:numPr>
        <w:spacing w:after="130" w:line="264"/>
      </w:pPr>
      <w:r>
        <w:rPr>
          <w:rFonts w:ascii="Arial" w:cs="Arial" w:eastAsia="Arial" w:hAnsi="Arial"/>
          <w:b/>
          <w:bCs/>
          <w:color w:val="16202E"/>
          <w:sz w:val="20"/>
          <w:szCs w:val="20"/>
        </w:rPr>
        <w:t xml:space="preserve">Real carry is high but not exceptional. </w:t>
      </w:r>
      <w:r>
        <w:rPr>
          <w:rFonts w:ascii="Arial" w:cs="Arial" w:eastAsia="Arial" w:hAnsi="Arial"/>
          <w:color w:val="16202E"/>
          <w:sz w:val="20"/>
          <w:szCs w:val="20"/>
        </w:rPr>
        <w:t xml:space="preserve">A 12.0% policy rate against 6.14% June inflation is a real rate near 5.9%, among the most restrictive settings in the region — but Brazil's is wider still. Sell the tightening bias, not the real rate.</w:t>
      </w:r>
    </w:p>
    <w:p>
      <w:pPr>
        <w:keepNext/>
        <w:pBdr>
          <w:bottom w:val="single" w:color="D8DEE7" w:sz="6" w:space="4"/>
        </w:pBdr>
        <w:spacing w:after="110" w:before="240"/>
      </w:pPr>
      <w:r>
        <w:rPr>
          <w:rFonts w:ascii="Arial" w:cs="Arial" w:eastAsia="Arial" w:hAnsi="Arial"/>
          <w:b/>
          <w:bCs/>
          <w:color w:val="E60000"/>
          <w:sz w:val="21"/>
          <w:szCs w:val="21"/>
        </w:rPr>
        <w:t xml:space="preserve">Three corrections to the working file</w:t>
      </w:r>
    </w:p>
    <w:p>
      <w:pPr>
        <w:pBdr>
          <w:left w:val="single" w:color="E60000" w:sz="12" w:space="8"/>
        </w:pBdr>
        <w:shd w:fill="FDF4F4" w:color="auto" w:val="clear"/>
        <w:spacing w:after="140" w:before="60" w:line="250"/>
        <w:ind w:left="120" w:right="120"/>
      </w:pPr>
      <w:r>
        <w:rPr>
          <w:rFonts w:ascii="Arial" w:cs="Arial" w:eastAsia="Arial" w:hAnsi="Arial"/>
          <w:b/>
          <w:bCs/>
          <w:color w:val="E60000"/>
          <w:sz w:val="19"/>
          <w:szCs w:val="19"/>
        </w:rPr>
        <w:t xml:space="preserve">1. The additive decomposition flatters the bear. </w:t>
      </w:r>
      <w:r>
        <w:rPr>
          <w:rFonts w:ascii="Arial" w:cs="Arial" w:eastAsia="Arial" w:hAnsi="Arial"/>
          <w:color w:val="16202E"/>
          <w:sz w:val="19"/>
          <w:szCs w:val="19"/>
        </w:rPr>
        <w:t xml:space="preserve">Total return on a USD-notional NDF is (F − S) / S, not carry + (S₀/S − 1). Carry must be scaled by S₀/S. At the original bear of 3,800 the correct figure is −9.95%, not −8.48%; the error grows with the size of the move and always understates the loss. It also explains why the original breakeven of 3,422 did not return zero in the scenario grid.</w:t>
      </w:r>
    </w:p>
    <w:p>
      <w:pPr>
        <w:pBdr>
          <w:left w:val="single" w:color="E60000" w:sz="12" w:space="8"/>
        </w:pBdr>
        <w:shd w:fill="FDF4F4" w:color="auto" w:val="clear"/>
        <w:spacing w:after="140" w:before="60" w:line="250"/>
        <w:ind w:left="120" w:right="120"/>
      </w:pPr>
      <w:r>
        <w:rPr>
          <w:rFonts w:ascii="Arial" w:cs="Arial" w:eastAsia="Arial" w:hAnsi="Arial"/>
          <w:b/>
          <w:bCs/>
          <w:color w:val="E60000"/>
          <w:sz w:val="19"/>
          <w:szCs w:val="19"/>
        </w:rPr>
        <w:t xml:space="preserve">2. The base case description is factually wrong on Colombia. </w:t>
      </w:r>
      <w:r>
        <w:rPr>
          <w:rFonts w:ascii="Arial" w:cs="Arial" w:eastAsia="Arial" w:hAnsi="Arial"/>
          <w:color w:val="16202E"/>
          <w:sz w:val="19"/>
          <w:szCs w:val="19"/>
        </w:rPr>
        <w:t xml:space="preserve">“Both US and COP rates fall slowly” does not describe 2026. Banrep has hiked 175bp, inflation rose to 6.14% in June against an end-year consensus of 6.6%, and Fedesarrollo's August panel has the policy rate unchanged at 12% through December.</w:t>
      </w:r>
    </w:p>
    <w:p>
      <w:pPr>
        <w:pBdr>
          <w:left w:val="single" w:color="E60000" w:sz="12" w:space="8"/>
        </w:pBdr>
        <w:shd w:fill="FDF4F4" w:color="auto" w:val="clear"/>
        <w:spacing w:after="140" w:before="60" w:line="250"/>
        <w:ind w:left="120" w:right="120"/>
      </w:pPr>
      <w:r>
        <w:rPr>
          <w:rFonts w:ascii="Arial" w:cs="Arial" w:eastAsia="Arial" w:hAnsi="Arial"/>
          <w:b/>
          <w:bCs/>
          <w:color w:val="E60000"/>
          <w:sz w:val="19"/>
          <w:szCs w:val="19"/>
        </w:rPr>
        <w:t xml:space="preserve">3. Every scenario is a Fed scenario. None is a Colombia scenario. </w:t>
      </w:r>
      <w:r>
        <w:rPr>
          <w:rFonts w:ascii="Arial" w:cs="Arial" w:eastAsia="Arial" w:hAnsi="Arial"/>
          <w:color w:val="16202E"/>
          <w:sz w:val="19"/>
          <w:szCs w:val="19"/>
        </w:rPr>
        <w:t xml:space="preserve">The dominant risk to this position is domestic and fiscal: S&amp;P cut Colombia to BB− in April on an expected 5.6% of GDP general government deficit, the fiscal rule remains suspended, the 2026 borrowing quota is close to exhausted, and the COP 60tn spending-reduction target has to pass a Congress in which Pacto Historico holds the largest Senate bloc. The peso has already priced the election; it has not priced the programme.</w:t>
      </w:r>
    </w:p>
    <w:p>
      <w:pPr>
        <w:keepNext/>
        <w:pBdr>
          <w:bottom w:val="single" w:color="D8DEE7" w:sz="6" w:space="4"/>
        </w:pBdr>
        <w:spacing w:after="110" w:before="240"/>
      </w:pPr>
      <w:r>
        <w:rPr>
          <w:rFonts w:ascii="Arial" w:cs="Arial" w:eastAsia="Arial" w:hAnsi="Arial"/>
          <w:b/>
          <w:bCs/>
          <w:color w:val="E60000"/>
          <w:sz w:val="21"/>
          <w:szCs w:val="21"/>
        </w:rPr>
        <w:t xml:space="preserve">View</w:t>
      </w:r>
    </w:p>
    <w:p>
      <w:pPr>
        <w:spacing w:after="140" w:line="280"/>
      </w:pPr>
      <w:r>
        <w:rPr>
          <w:rFonts w:ascii="Arial" w:cs="Arial" w:eastAsia="Arial" w:hAnsi="Arial"/>
          <w:b/>
          <w:bCs/>
          <w:color w:val="1F3B63"/>
          <w:sz w:val="21"/>
          <w:szCs w:val="21"/>
        </w:rPr>
        <w:t xml:space="preserve">Constructive, at half size, with the balance held for a better entry.</w:t>
      </w:r>
    </w:p>
    <w:p>
      <w:pPr>
        <w:spacing w:after="120" w:before="0" w:line="264"/>
      </w:pPr>
      <w:r>
        <w:rPr>
          <w:rFonts w:ascii="Arial" w:cs="Arial" w:eastAsia="Arial" w:hAnsi="Arial"/>
          <w:color w:val="16202E"/>
          <w:sz w:val="20"/>
          <w:szCs w:val="20"/>
        </w:rPr>
        <w:t xml:space="preserve">What makes the position attractive is that the carry does not decay. Every other LatAm carry story is a race between the coupon and the cutting cycle — BRL pays 10% while Copom walks it down. Here Banrep is the only board in the region with directors voting for hikes, so twelve months of 8.6% is closer to actually being 8.6% than anywhere else in the region.</w:t>
      </w:r>
    </w:p>
    <w:p>
      <w:pPr>
        <w:spacing w:after="120" w:before="0" w:line="264"/>
      </w:pPr>
      <w:r>
        <w:rPr>
          <w:rFonts w:ascii="Arial" w:cs="Arial" w:eastAsia="Arial" w:hAnsi="Arial"/>
          <w:color w:val="16202E"/>
          <w:sz w:val="20"/>
          <w:szCs w:val="20"/>
        </w:rPr>
        <w:t xml:space="preserve">What argues against sizing up here is that the vol-adjusted number is less compelling than the headline. Against COP implied vol of roughly 12–14%, an 8.6% cushion is a carry-to-vol ratio under 0.7 — adequate, not exceptional — in a currency that printed 5,118 last year, so the left tail is not symmetric with the vol estimate. Entry also follows an 18% run, into crowded positioning, against a central bank that has said explicitly it will buy dollars against further strength.</w:t>
      </w:r>
    </w:p>
    <w:p>
      <w:pPr>
        <w:spacing w:after="120" w:before="0" w:line="264"/>
      </w:pPr>
      <w:r>
        <w:rPr>
          <w:rFonts w:ascii="Arial" w:cs="Arial" w:eastAsia="Arial" w:hAnsi="Arial"/>
          <w:color w:val="16202E"/>
          <w:sz w:val="20"/>
          <w:szCs w:val="20"/>
        </w:rPr>
        <w:t xml:space="preserve">The recommended structure is therefore half size now and half on a move toward 3,350–3,400. The fiscal package reaches Congress in the first months of the new term and is a genuine binary: Pacto Historico holds the largest Senate bloc and de la Espriella has no majority. If the package stalls, the entry improves and the carry is still there, because a stalled adjustment is precisely what keeps Banrep from cutting.</w:t>
      </w:r>
    </w:p>
    <w:p>
      <w:pPr>
        <w:spacing w:after="120" w:before="0" w:line="264"/>
      </w:pPr>
      <w:r>
        <w:rPr>
          <w:rFonts w:ascii="Arial" w:cs="Arial" w:eastAsia="Arial" w:hAnsi="Arial"/>
          <w:color w:val="16202E"/>
          <w:sz w:val="20"/>
          <w:szCs w:val="20"/>
        </w:rPr>
        <w:t xml:space="preserve">The reading to avoid is treating the +2.8% expected return as an appreciation call. It is not. It is a fair-but-not-generous premium for sitting through a legislative fight, and it should be sized accordingly.</w:t>
      </w:r>
    </w:p>
    <w:p>
      <w:pPr>
        <w:keepNext/>
        <w:pBdr>
          <w:bottom w:val="single" w:color="D8DEE7" w:sz="6" w:space="4"/>
        </w:pBdr>
        <w:spacing w:after="110" w:before="240"/>
      </w:pPr>
      <w:r>
        <w:rPr>
          <w:rFonts w:ascii="Arial" w:cs="Arial" w:eastAsia="Arial" w:hAnsi="Arial"/>
          <w:b/>
          <w:bCs/>
          <w:color w:val="E60000"/>
          <w:sz w:val="21"/>
          <w:szCs w:val="21"/>
        </w:rPr>
        <w:t xml:space="preserve">Method and sources</w:t>
      </w:r>
    </w:p>
    <w:p>
      <w:pPr>
        <w:spacing w:after="120" w:before="0" w:line="264"/>
      </w:pPr>
      <w:r>
        <w:rPr>
          <w:rFonts w:ascii="Arial" w:cs="Arial" w:eastAsia="Arial" w:hAnsi="Arial"/>
          <w:color w:val="6B7A8F"/>
          <w:sz w:val="15"/>
          <w:szCs w:val="15"/>
        </w:rPr>
        <w:t xml:space="preserve">Total return on a USD-notional NDF is (F − Sₜ) / Sₜ, decomposed as spot return S₀/Sₜ − 1 plus carry × S₀/Sₜ. The forward is computed from covered parity on the quoted differential, F = S₀ × (1 + carry); no separate NDF points are used, so the cross-currency basis is not isolated.</w:t>
      </w:r>
    </w:p>
    <w:p>
      <w:pPr>
        <w:spacing w:after="120" w:before="0" w:line="264"/>
      </w:pPr>
      <w:r>
        <w:rPr>
          <w:rFonts w:ascii="Arial" w:cs="Arial" w:eastAsia="Arial" w:hAnsi="Arial"/>
          <w:color w:val="6B7A8F"/>
          <w:sz w:val="15"/>
          <w:szCs w:val="15"/>
        </w:rPr>
        <w:t xml:space="preserve">Rates and spot from Bloomberg: CLNI12M BGN Curncy, USOSFR1 BGN Curncy, COP REGN Curncy. USD LIBOR is not used — ICE ceased synthetic USD publication on 30 September 2024. Policy, inflation and rating references: Banco de la República (31 July 2026 decision, 5 August 2026 minutes), BBVA Research, S&amp;P Global Ratings (8 April 2026), Banco Central do Brasil (5 August 2026).</w:t>
      </w:r>
    </w:p>
    <w:p>
      <w:pPr>
        <w:spacing w:after="120" w:before="0" w:line="264"/>
      </w:pPr>
      <w:r>
        <w:rPr>
          <w:rFonts w:ascii="Arial" w:cs="Arial" w:eastAsia="Arial" w:hAnsi="Arial"/>
          <w:color w:val="6B7A8F"/>
          <w:sz w:val="15"/>
          <w:szCs w:val="15"/>
        </w:rPr>
        <w:t xml:space="preserve">Open item: the start-2026 reference of ~3,700 is derived from a reported ~18% year-to-date appreciation against an early-August level near 3,200 and should be confirmed against the Bloomberg series before publication. Scenario probabilities are judgemental.</w:t>
      </w:r>
    </w:p>
    <w:sectPr>
      <w:footerReference w:type="default" r:id="rId7"/>
      <w:pgSz w:w="12240" w:h="15840" w:orient="portrait"/>
      <w:pgMar w:top="108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B7A8F"/>
        <w:sz w:val="13"/>
        <w:szCs w:val="13"/>
      </w:rPr>
      <w:t xml:space="preserve">UBS Sovereign Fixed Income &amp; Macro Research  ·  27 August 2026  ·  Illustrative scenario analysis, not a forecast or a recommendation</w:t>
    </w:r>
    <w:r>
      <w:rPr>
        <w:rFonts w:ascii="Arial" w:cs="Arial" w:eastAsia="Arial" w:hAnsi="Arial"/>
        <w:color w:val="6B7A8F"/>
        <w:sz w:val="13"/>
        <w:szCs w:val="13"/>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rPr>
        <w:rFonts w:ascii="Arial" w:cs="Arial" w:eastAsia="Arial" w:hAnsi="Arial"/>
        <w:color w:val="E6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aa7c54bc328b8260efe5cd4ef8285709f250cb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carry - the cushion, not the call</dc:title>
  <dc:creator>UBS Sovereign Fixed Income &amp; Macro Research</dc:creator>
  <cp:lastModifiedBy>Un-named</cp:lastModifiedBy>
  <cp:revision>1</cp:revision>
  <dcterms:created xsi:type="dcterms:W3CDTF">2026-08-27T16:01:52.264Z</dcterms:created>
  <dcterms:modified xsi:type="dcterms:W3CDTF">2026-08-27T16:01:52.264Z</dcterms:modified>
</cp:coreProperties>
</file>

<file path=docProps/custom.xml><?xml version="1.0" encoding="utf-8"?>
<Properties xmlns="http://schemas.openxmlformats.org/officeDocument/2006/custom-properties" xmlns:vt="http://schemas.openxmlformats.org/officeDocument/2006/docPropsVTypes"/>
</file>