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b/>
          <w:bCs/>
          <w:color w:val="222222"/>
          <w:sz w:val="34"/>
          <w:szCs w:val="34"/>
        </w:rPr>
        <w:t xml:space="preserve">Venezuela: the announcement and the barrels</w:t>
      </w:r>
    </w:p>
    <w:p>
      <w:pPr>
        <w:spacing w:after="40"/>
      </w:pPr>
      <w:r>
        <w:rPr>
          <w:rFonts w:ascii="Arial" w:cs="Arial" w:eastAsia="Arial" w:hAnsi="Arial"/>
          <w:i/>
          <w:iCs/>
          <w:color w:val="555555"/>
          <w:sz w:val="20"/>
          <w:szCs w:val="20"/>
        </w:rPr>
        <w:t xml:space="preserve">A very large claim, an unpublished contract, and two legislatures standing between it and any incremental output.</w:t>
      </w:r>
    </w:p>
    <w:p>
      <w:pPr>
        <w:pBdr>
          <w:bottom w:val="single" w:color="BFBFBF" w:sz="6" w:space="8"/>
        </w:pBdr>
        <w:spacing w:after="280"/>
      </w:pPr>
      <w:r>
        <w:rPr>
          <w:rFonts w:ascii="Arial" w:cs="Arial" w:eastAsia="Arial" w:hAnsi="Arial"/>
          <w:color w:val="666666"/>
          <w:sz w:val="18"/>
          <w:szCs w:val="18"/>
        </w:rPr>
        <w:t xml:space="preserve">Alberto Rojas  |  UBS Chief Investment Office Americas  |  29 August 2026</w:t>
      </w:r>
    </w:p>
    <w:p>
      <w:pPr>
        <w:pStyle w:val="Heading1"/>
        <w:spacing w:after="150" w:before="320"/>
      </w:pPr>
      <w:r>
        <w:rPr>
          <w:rFonts w:ascii="Arial" w:cs="Arial" w:eastAsia="Arial" w:hAnsi="Arial"/>
          <w:b/>
          <w:bCs/>
          <w:color w:val="5B2C6F"/>
          <w:sz w:val="26"/>
          <w:szCs w:val="26"/>
        </w:rPr>
        <w:t xml:space="preserve">What happened</w:t>
      </w:r>
    </w:p>
    <w:p>
      <w:pPr>
        <w:spacing w:after="170" w:line="276"/>
      </w:pPr>
      <w:r>
        <w:rPr>
          <w:rFonts w:ascii="Times New Roman" w:cs="Times New Roman" w:eastAsia="Times New Roman" w:hAnsi="Times New Roman"/>
          <w:sz w:val="22"/>
          <w:szCs w:val="22"/>
        </w:rPr>
        <w:t xml:space="preserve">On Friday evening, 28 August, President Trump announced on Truth Social that the United States “has just entered into an Agreement with the Country of Venezuela on, THE BIGGEST OIL DEAL IN WORLD HISTORY!” He said the transaction had secured “majority U.S. control of more than 65 BILLION BARRELS of proven Oil Reserves in Venezuela, at no cost to the American Taxpayer,” that it “MORE THAN DOUBLES American Oil Reserves,” and that it “will substantially lower Gas Prices for all Americans, long into the future.”</w:t>
      </w:r>
      <w:r>
        <w:rPr>
          <w:rStyle w:val="FootnoteReference"/>
        </w:rPr>
        <w:footnoteReference w:id="1"/>
      </w:r>
    </w:p>
    <w:p>
      <w:pPr>
        <w:spacing w:after="170" w:line="276"/>
      </w:pPr>
      <w:r>
        <w:rPr>
          <w:rFonts w:ascii="Times New Roman" w:cs="Times New Roman" w:eastAsia="Times New Roman" w:hAnsi="Times New Roman"/>
          <w:sz w:val="22"/>
          <w:szCs w:val="22"/>
        </w:rPr>
        <w:t xml:space="preserve">Interim President Delcy Rodríguez confirmed the agreement within hours, in a statement issued the same night in both Spanish and English. She called it “un hito histórico en las relaciones bilaterales” and said it would allow production to be increased considerably “con la participación de operadores privados.” Her figures: 17 strategic fields with a proven potential of 65 billion barrels, more than USD 100bn of investment, and more than USD 209bn in tax revenue for the Venezuelan state. Secretary of State Marco Rubio said the deal would bring “nearly $100 billion in private investment” to Venezuela, without naming a single company that has committed to spend it.</w:t>
      </w:r>
      <w:r>
        <w:rPr>
          <w:rStyle w:val="FootnoteReference"/>
        </w:rPr>
        <w:footnoteReference w:id="2"/>
      </w:r>
    </w:p>
    <w:p>
      <w:pPr>
        <w:spacing w:after="170" w:line="276"/>
      </w:pPr>
      <w:r>
        <w:rPr>
          <w:rFonts w:ascii="Times New Roman" w:cs="Times New Roman" w:eastAsia="Times New Roman" w:hAnsi="Times New Roman"/>
          <w:sz w:val="22"/>
          <w:szCs w:val="22"/>
        </w:rPr>
        <w:t xml:space="preserve">The structure has been described only second-hand. According to The Washington Post, working from deal points it reviewed and from federal officials, the arrangement creates a new joint-venture oil company majority-owned by the United States and holding 100-year contracts over the fields, giving Washington “a controlling stake in nearly a quarter of Venezuela’s untapped oil reserves.” The US stake is “split between equity ownership and guarantees that it will purchase oil produced by it at cost to refill the U.S. Strategic Petroleum Reserve.” A separate US official, speaking anonymously to the Associated Press, put Washington’s effective share of output at 55%. The Venezuelan counterparty is a private domestic operator; the Pentagon’s Office of Strategic Capital would oversee and help fund the field licences.</w:t>
      </w:r>
      <w:r>
        <w:rPr>
          <w:rStyle w:val="FootnoteReference"/>
        </w:rPr>
        <w:footnoteReference w:id="3"/>
      </w:r>
    </w:p>
    <w:p>
      <w:pPr>
        <w:spacing w:after="170" w:line="276"/>
      </w:pPr>
      <w:r>
        <w:rPr>
          <w:rFonts w:ascii="Times New Roman" w:cs="Times New Roman" w:eastAsia="Times New Roman" w:hAnsi="Times New Roman"/>
          <w:sz w:val="22"/>
          <w:szCs w:val="22"/>
        </w:rPr>
        <w:t xml:space="preserve">Two details from that account are worth holding on to. The Pentagon office in question told the Post that its “role is strictly limited to providing capital assistance in the form of a loan, loan guarantee, or technical assistance,” and that it “cannot take any ownership stake in private companies” — which is difficult to square with a US government that is the majority owner of the venture. And the Post’s own characterisation of the plan, in its opening line, is “a potentially costly and legally precarious proposal.”</w:t>
      </w:r>
      <w:r>
        <w:rPr>
          <w:rStyle w:val="FootnoteReference"/>
        </w:rPr>
        <w:footnoteReference w:id="4"/>
      </w:r>
    </w:p>
    <w:p>
      <w:pPr>
        <w:pStyle w:val="Heading1"/>
        <w:spacing w:after="150" w:before="320"/>
      </w:pPr>
      <w:r>
        <w:rPr>
          <w:rFonts w:ascii="Arial" w:cs="Arial" w:eastAsia="Arial" w:hAnsi="Arial"/>
          <w:b/>
          <w:bCs/>
          <w:color w:val="5B2C6F"/>
          <w:sz w:val="26"/>
          <w:szCs w:val="26"/>
        </w:rPr>
        <w:t xml:space="preserve">What we don’t know</w:t>
      </w:r>
    </w:p>
    <w:p>
      <w:pPr>
        <w:spacing w:after="170" w:line="276"/>
      </w:pPr>
      <w:r>
        <w:rPr>
          <w:rFonts w:ascii="Times New Roman" w:cs="Times New Roman" w:eastAsia="Times New Roman" w:hAnsi="Times New Roman"/>
          <w:sz w:val="22"/>
          <w:szCs w:val="22"/>
        </w:rPr>
        <w:t xml:space="preserve">Nearly everything that would let an investor size this. No text of any agreement, decree, licence or contract has been published by either government, and neither has said when one will be. The instrument itself is unidentified — lease, concession, service contract or equity vehicle — and Reuters reports that the legislation in force does not contemplate the leasing of oil areas at all.</w:t>
      </w:r>
      <w:r>
        <w:rPr>
          <w:rStyle w:val="FootnoteReference"/>
        </w:rPr>
        <w:footnoteReference w:id="5"/>
      </w:r>
    </w:p>
    <w:p>
      <w:pPr>
        <w:spacing w:after="170" w:line="276"/>
      </w:pPr>
      <w:r>
        <w:rPr>
          <w:rFonts w:ascii="Times New Roman" w:cs="Times New Roman" w:eastAsia="Times New Roman" w:hAnsi="Times New Roman"/>
          <w:sz w:val="22"/>
          <w:szCs w:val="22"/>
        </w:rPr>
        <w:t xml:space="preserve">The perimeter does not reconcile. Trump and Rodríguez both say 65 billion barrels across 17 fields; the US official briefing Newsweek said 63 billion; Axios, reporting the day before the announcement, described more than a dozen producing fields holding around 90 billion barrels. Nobody has reconciled the three, and the fields themselves are a mix of undeveloped Orinoco acreage and mature Lake Maracaibo assets, some currently operated by others.</w:t>
      </w:r>
    </w:p>
    <w:p>
      <w:pPr>
        <w:spacing w:after="170" w:line="276"/>
      </w:pPr>
      <w:r>
        <w:rPr>
          <w:rFonts w:ascii="Times New Roman" w:cs="Times New Roman" w:eastAsia="Times New Roman" w:hAnsi="Times New Roman"/>
          <w:sz w:val="22"/>
          <w:szCs w:val="22"/>
        </w:rPr>
        <w:t xml:space="preserve">Nor do we know who pays. The claim that this costs the American taxpayer nothing is contradicted by the Post’s own sourcing: the deal points and interviews “suggest that for the plan to succeed in producing oil in the amounts the administration projects, the U.S. government may ultimately need to invest significant amounts,” and “it is unclear who would make the tens of billions of dollars in infrastructure investments needed before oil can be pumped from the largely dormant fields.” Several of the 17 fields have no infrastructure or transport access at all; where infrastructure exists it has suffered years of neglect and theft.</w:t>
      </w:r>
    </w:p>
    <w:p>
      <w:pPr>
        <w:spacing w:after="170" w:line="276"/>
      </w:pPr>
      <w:r>
        <w:rPr>
          <w:rFonts w:ascii="Times New Roman" w:cs="Times New Roman" w:eastAsia="Times New Roman" w:hAnsi="Times New Roman"/>
          <w:sz w:val="22"/>
          <w:szCs w:val="22"/>
        </w:rPr>
        <w:t xml:space="preserve">Finally, we do not know whether any instrument has been, or will be, put to Venezuela’s National Assembly — or on what legal theory it would avoid having to be.</w:t>
      </w:r>
    </w:p>
    <w:p>
      <w:pPr>
        <w:pStyle w:val="Heading1"/>
        <w:spacing w:after="150" w:before="320"/>
      </w:pPr>
      <w:r>
        <w:rPr>
          <w:rFonts w:ascii="Arial" w:cs="Arial" w:eastAsia="Arial" w:hAnsi="Arial"/>
          <w:b/>
          <w:bCs/>
          <w:color w:val="5B2C6F"/>
          <w:sz w:val="26"/>
          <w:szCs w:val="26"/>
        </w:rPr>
        <w:t xml:space="preserve">The legal framework, and the hurdles on both sides</w:t>
      </w:r>
    </w:p>
    <w:p>
      <w:pPr>
        <w:spacing w:after="170" w:line="276"/>
      </w:pPr>
      <w:r>
        <w:rPr>
          <w:rFonts w:ascii="Times New Roman" w:cs="Times New Roman" w:eastAsia="Times New Roman" w:hAnsi="Times New Roman"/>
          <w:sz w:val="22"/>
          <w:szCs w:val="22"/>
        </w:rPr>
        <w:t xml:space="preserve">Start with what Venezuela cannot do. Article 12 of the 1999 Constitution provides that hydrocarbon deposits “pertenecen a la República, son bienes del dominio público y, por tanto, inalienables e imprescriptibles” — they belong to the Republic, are public-domain property, and are therefore inalienable. Article 302 reserves the petroleum activity to the State “mediante la ley orgánica respectiva,” through the relevant organic law. The reserves themselves are not transferable, and no amount of contractual engineering changes that.</w:t>
      </w:r>
      <w:r>
        <w:rPr>
          <w:rStyle w:val="FootnoteReference"/>
        </w:rPr>
        <w:footnoteReference w:id="6"/>
      </w:r>
    </w:p>
    <w:p>
      <w:pPr>
        <w:spacing w:after="170" w:line="276"/>
      </w:pPr>
      <w:r>
        <w:rPr>
          <w:rFonts w:ascii="Times New Roman" w:cs="Times New Roman" w:eastAsia="Times New Roman" w:hAnsi="Times New Roman"/>
          <w:sz w:val="22"/>
          <w:szCs w:val="22"/>
        </w:rPr>
        <w:t xml:space="preserve">That organic law was rewritten in January. The reform published in Gaceta Oficial 6.978 Extraordinario opened primary activities to private companies domiciled in Venezuela, operating under contract with the state company, and it is what makes any of this legally imaginable. But the same reform is explicit about the limit it keeps. Article 40: “La República conservará la propiedad sobre los yacimientos de hidrocarburos sobre los cuales las empresas operadoras desarrollarán las actividades primarias.” Article 68 goes further, providing that authorised direct marketing “no implicará, en ningún caso, la transferencia de la titularidad de los yacimientos ni la autorización para la constitución de garantías reales sobre yacimientos o sobre derechos de soberanía” — no transfer of title, and no security interests over the deposits or over sovereign rights.</w:t>
      </w:r>
      <w:r>
        <w:rPr>
          <w:rStyle w:val="FootnoteReference"/>
        </w:rPr>
        <w:footnoteReference w:id="7"/>
      </w:r>
    </w:p>
    <w:p>
      <w:pPr>
        <w:spacing w:after="170" w:line="276"/>
      </w:pPr>
      <w:r>
        <w:rPr>
          <w:rFonts w:ascii="Times New Roman" w:cs="Times New Roman" w:eastAsia="Times New Roman" w:hAnsi="Times New Roman"/>
          <w:sz w:val="22"/>
          <w:szCs w:val="22"/>
        </w:rPr>
        <w:t xml:space="preserve">So a US “controlling stake” in Venezuelan reserves is, on the face of the statute, not available. What is available is a contractual right to operate and to take a share of production. Two further provisions matter. The reform caps mixed companies at 25 years plus a 15-year extension — 40 years at the outside, against a reported 100-year term. And Articles 150 and 187(9) of the Constitution require National Assembly approval for contracts of public interest concluded with foreign States or official entities, or with companies not domiciled in Venezuela. The Post reaches the same place from the other direction: “Revisions to the Venezuelan constitution may be required before the U.S. gains control of any oil fields, and the prospects of that happening are uncertain amid U.S. antipathy.”</w:t>
      </w:r>
    </w:p>
    <w:p>
      <w:pPr>
        <w:spacing w:after="170" w:line="276"/>
      </w:pPr>
      <w:r>
        <w:rPr>
          <w:rFonts w:ascii="Times New Roman" w:cs="Times New Roman" w:eastAsia="Times New Roman" w:hAnsi="Times New Roman"/>
          <w:sz w:val="22"/>
          <w:szCs w:val="22"/>
        </w:rPr>
        <w:t xml:space="preserve">Legitimacy compounds the problem. Rodríguez governs as interim president following the US operation that removed Nicolás Maduro in January, and her authority to bind the Republic for a century is precisely what will be litigated — commercially, if not judicially. Ricardo Hausmann, the Harvard economist and former Venezuelan planning minister, put it bluntly: “An illegitimate interim [Venezuelan] government with an illegitimate hydrocarbons law has no legitimacy to strike this unconstitutional deal.” A Venezuelan oil-industry veteran told the Post that “from a legal standpoint in Venezuela, Delcy has no standing,” leaving lenders to ask why they would sign with counterparties who have none.</w:t>
      </w:r>
      <w:r>
        <w:rPr>
          <w:rStyle w:val="FootnoteReference"/>
        </w:rPr>
        <w:footnoteReference w:id="8"/>
      </w:r>
    </w:p>
    <w:p>
      <w:pPr>
        <w:spacing w:after="170" w:line="276"/>
      </w:pPr>
      <w:r>
        <w:rPr>
          <w:rFonts w:ascii="Times New Roman" w:cs="Times New Roman" w:eastAsia="Times New Roman" w:hAnsi="Times New Roman"/>
          <w:sz w:val="22"/>
          <w:szCs w:val="22"/>
        </w:rPr>
        <w:t xml:space="preserve">The American side has a legislature too. If the venture requires US government money — and the Post’s reporting suggests it will — any expenditure or loan would probably need congressional approval. That vote would have to be sought from a Congress two months out from midterm elections, with the President’s approval rating in the mid- to high 30s and a six-month Iran war unresolved. The administration’s own vehicle is constrained: the Office of Strategic Capital can lend, guarantee and advise, but says it cannot hold equity. And the recent record is not encouraging. Neither the Ukraine critical-minerals arrangement nor the Westinghouse announcement of nearly a year ago has produced the breakthroughs forecast when they were unveiled.</w:t>
      </w:r>
    </w:p>
    <w:p>
      <w:pPr>
        <w:pStyle w:val="Heading1"/>
        <w:spacing w:after="150" w:before="320"/>
      </w:pPr>
      <w:r>
        <w:rPr>
          <w:rFonts w:ascii="Arial" w:cs="Arial" w:eastAsia="Arial" w:hAnsi="Arial"/>
          <w:b/>
          <w:bCs/>
          <w:color w:val="5B2C6F"/>
          <w:sz w:val="26"/>
          <w:szCs w:val="26"/>
        </w:rPr>
        <w:t xml:space="preserve">Conclusion</w:t>
      </w:r>
    </w:p>
    <w:p>
      <w:pPr>
        <w:spacing w:after="170" w:line="276"/>
      </w:pPr>
      <w:r>
        <w:rPr>
          <w:rFonts w:ascii="Times New Roman" w:cs="Times New Roman" w:eastAsia="Times New Roman" w:hAnsi="Times New Roman"/>
          <w:sz w:val="22"/>
          <w:szCs w:val="22"/>
        </w:rPr>
        <w:t xml:space="preserve">This is as bombastic as everything else that has come out of the past nine months, and it should be read the same way. The most informative thing about Friday night is not what was announced but what the people who would have to write the cheques said in response.</w:t>
      </w:r>
    </w:p>
    <w:p>
      <w:pPr>
        <w:spacing w:after="170" w:line="276"/>
      </w:pPr>
      <w:r>
        <w:rPr>
          <w:rFonts w:ascii="Times New Roman" w:cs="Times New Roman" w:eastAsia="Times New Roman" w:hAnsi="Times New Roman"/>
          <w:sz w:val="22"/>
          <w:szCs w:val="22"/>
        </w:rPr>
        <w:t xml:space="preserve">ExxonMobil’s chief executive, asked to return after Maduro’s removal, called the country “un-investable.” Chevron, the only US major still operating there, declined to comment on the President’s post. David Goldwyn, who advises on international energy, questions “whether anybody would want to operate” where electricity is rationed and ports cannot handle higher volumes — constraints that “are holding back the majors from going into the country right now” — and notes that even if Washington could supersede Venezuelan jurisdiction over the fields, they “would have the same risks.” No company has been named as having committed to the USD 100bn.</w:t>
      </w:r>
      <w:r>
        <w:rPr>
          <w:rStyle w:val="FootnoteReference"/>
        </w:rPr>
        <w:footnoteReference w:id="9"/>
      </w:r>
    </w:p>
    <w:p>
      <w:pPr>
        <w:spacing w:after="170" w:line="276"/>
      </w:pPr>
      <w:r>
        <w:rPr>
          <w:rFonts w:ascii="Times New Roman" w:cs="Times New Roman" w:eastAsia="Times New Roman" w:hAnsi="Times New Roman"/>
          <w:sz w:val="22"/>
          <w:szCs w:val="22"/>
        </w:rPr>
        <w:t xml:space="preserve">The production data say the same thing more quietly. Nine months after the change of government, Venezuelan output is up roughly 200,000 b/d over the past year, to about 1.23–1.25m b/d, with projections of the same or less next year. That is a recovery from a very low base, driven by operators already on the ground, not a step change. Repairing and expanding this infrastructure is a multi-year, multi-billion-dollar undertaking under any ownership structure.</w:t>
      </w:r>
      <w:r>
        <w:rPr>
          <w:rStyle w:val="FootnoteReference"/>
        </w:rPr>
        <w:footnoteReference w:id="10"/>
      </w:r>
    </w:p>
    <w:p>
      <w:pPr>
        <w:spacing w:after="170" w:line="276"/>
      </w:pPr>
      <w:r>
        <w:rPr>
          <w:rFonts w:ascii="Times New Roman" w:cs="Times New Roman" w:eastAsia="Times New Roman" w:hAnsi="Times New Roman"/>
          <w:sz w:val="22"/>
          <w:szCs w:val="22"/>
        </w:rPr>
        <w:t xml:space="preserve">Our view is straightforward. Without a published contract, a legal framework that can survive a change of government, and a Venezuela with functioning institutions to enforce it, this announcement will not translate into materially higher output any time soon. Sovereign risk here is not principally about the oil in the ground — it is well mapped and it is not going anywhere — but about whether anyone can obtain an enforceable, financeable claim on producing it. Nothing announced on Friday resolves that. Until it does, the noise should be treated as noise.</w:t>
      </w:r>
    </w:p>
    <w:p>
      <w:pPr>
        <w:spacing w:after="170" w:line="276"/>
      </w:pPr>
      <w:r>
        <w:rPr>
          <w:rFonts w:ascii="Times New Roman" w:cs="Times New Roman" w:eastAsia="Times New Roman" w:hAnsi="Times New Roman"/>
          <w:i/>
          <w:iCs/>
          <w:color w:val="808080"/>
          <w:sz w:val="20"/>
          <w:szCs w:val="20"/>
        </w:rPr>
        <w:t xml:space="preserve">[Add your market call and positioning here.]</w:t>
      </w:r>
    </w:p>
    <w:p>
      <w:pPr>
        <w:pStyle w:val="Heading1"/>
        <w:spacing w:after="150" w:before="320"/>
      </w:pPr>
      <w:r>
        <w:rPr>
          <w:rFonts w:ascii="Arial" w:cs="Arial" w:eastAsia="Arial" w:hAnsi="Arial"/>
          <w:b/>
          <w:bCs/>
          <w:color w:val="5B2C6F"/>
          <w:sz w:val="26"/>
          <w:szCs w:val="26"/>
        </w:rPr>
        <w:t xml:space="preserve">Sources</w:t>
      </w:r>
    </w:p>
    <w:p>
      <w:pPr>
        <w:spacing w:after="70" w:line="255"/>
        <w:ind w:left="300" w:hanging="300"/>
      </w:pPr>
      <w:r>
        <w:rPr>
          <w:rFonts w:ascii="Times New Roman" w:cs="Times New Roman" w:eastAsia="Times New Roman" w:hAnsi="Times New Roman"/>
          <w:sz w:val="17"/>
          <w:szCs w:val="17"/>
        </w:rPr>
        <w:t xml:space="preserve">The Washington Post (Halper, DeYoung, Faiola, Schmidt), “Trump says he has secured a vast U.S. stake in Venezuelan oil industry,” 28 Aug 2026.</w:t>
      </w:r>
    </w:p>
    <w:p>
      <w:pPr>
        <w:spacing w:after="70" w:line="255"/>
        <w:ind w:left="300" w:hanging="300"/>
      </w:pPr>
      <w:r>
        <w:rPr>
          <w:rFonts w:ascii="Times New Roman" w:cs="Times New Roman" w:eastAsia="Times New Roman" w:hAnsi="Times New Roman"/>
          <w:sz w:val="17"/>
          <w:szCs w:val="17"/>
        </w:rPr>
        <w:t xml:space="preserve">Associated Press (Madhani; García Cano), 28 Aug 2026, via NPR and The Washington Times. Newsweek, 28 Aug 2026. ABC News (Chang), 28 Aug 2026.</w:t>
      </w:r>
    </w:p>
    <w:p>
      <w:pPr>
        <w:spacing w:after="70" w:line="255"/>
        <w:ind w:left="300" w:hanging="300"/>
      </w:pPr>
      <w:r>
        <w:rPr>
          <w:rFonts w:ascii="Times New Roman" w:cs="Times New Roman" w:eastAsia="Times New Roman" w:hAnsi="Times New Roman"/>
          <w:sz w:val="17"/>
          <w:szCs w:val="17"/>
        </w:rPr>
        <w:t xml:space="preserve">EFE (Caracas), via Infobae, 28 Aug 2026; Infobae (Venezuela), 29 Aug 2026; RT en Español, 29 Aug 2026. France 24 en español, 28 Aug 2026.</w:t>
      </w:r>
    </w:p>
    <w:p>
      <w:pPr>
        <w:spacing w:after="70" w:line="255"/>
        <w:ind w:left="300" w:hanging="300"/>
      </w:pPr>
      <w:r>
        <w:rPr>
          <w:rFonts w:ascii="Times New Roman" w:cs="Times New Roman" w:eastAsia="Times New Roman" w:hAnsi="Times New Roman"/>
          <w:sz w:val="17"/>
          <w:szCs w:val="17"/>
        </w:rPr>
        <w:t xml:space="preserve">Constitución de la República Bolivariana de Venezuela (1999, as amended 2009). Ley Orgánica de Hidrocarburos, Gaceta Oficial N° 38.443, 24 May 2006. Ley de Reforma de la Ley Orgánica de Hidrocarburos, Gaceta Oficial N° 6.978 Extraordinario, 29 Jan 2026. Reglamento, Decreto N° 5.381, Gaceta Oficial N° 7.052 Extraordinario, 7 Jul 2026.</w:t>
      </w:r>
    </w:p>
    <w:p>
      <w:pPr>
        <w:spacing w:after="70" w:line="255"/>
        <w:ind w:left="300" w:hanging="300"/>
      </w:pPr>
      <w:r>
        <w:rPr>
          <w:rFonts w:ascii="Times New Roman" w:cs="Times New Roman" w:eastAsia="Times New Roman" w:hAnsi="Times New Roman"/>
          <w:sz w:val="17"/>
          <w:szCs w:val="17"/>
        </w:rPr>
        <w:t xml:space="preserve">Unabridged quotations, full legal texts and verification notes: venezuela-quote-pack-2026-08-29.md. All sources consulted 29 August 2026.</w:t>
      </w:r>
    </w:p>
    <w:sectPr>
      <w:footerReference w:type="default" r:id="rId7"/>
      <w:pgSz w:w="12240" w:h="15840"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Times New Roman" w:cs="Times New Roman" w:eastAsia="Times New Roman" w:hAnsi="Times New Roman"/>
          <w:sz w:val="16"/>
          <w:szCs w:val="16"/>
        </w:rPr>
        <w:t xml:space="preserve">Truth Social, 28 Aug 2026. Full text reproduced by Newsweek; the opening and “At my direction…” sentences independently quoted by AP (via NPR and The Washington Times) and ABC News. Capitalisation as published.</w:t>
      </w:r>
    </w:p>
  </w:footnote>
  <w:footnote w:id="2">
    <w:p>
      <w:pPr>
        <w:spacing w:after="40"/>
      </w:pPr>
      <w:r>
        <w:rPr>
          <w:rStyle w:val="FootnoteReference"/>
        </w:rPr>
        <w:footnoteRef/>
      </w:r>
      <w:r>
        <w:rPr>
          <w:rFonts w:ascii="Times New Roman" w:cs="Times New Roman" w:eastAsia="Times New Roman" w:hAnsi="Times New Roman"/>
          <w:sz w:val="16"/>
          <w:szCs w:val="16"/>
        </w:rPr>
        <w:t xml:space="preserve">Rodríguez statement, 28 Aug 2026: Spanish text per EFE (Caracas), RT en Español and Infobae; English text per ABC News and AP. It was not published on an official Venezuelan government domain. Rubio, post on X, 28 Aug 2026, per Newsweek; the observation that no companies are named is The Washington Post’s.</w:t>
      </w:r>
    </w:p>
  </w:footnote>
  <w:footnote w:id="3">
    <w:p>
      <w:pPr>
        <w:spacing w:after="40"/>
      </w:pPr>
      <w:r>
        <w:rPr>
          <w:rStyle w:val="FootnoteReference"/>
        </w:rPr>
        <w:footnoteRef/>
      </w:r>
      <w:r>
        <w:rPr>
          <w:rFonts w:ascii="Times New Roman" w:cs="Times New Roman" w:eastAsia="Times New Roman" w:hAnsi="Times New Roman"/>
          <w:sz w:val="16"/>
          <w:szCs w:val="16"/>
        </w:rPr>
        <w:t xml:space="preserve">Evan Halper, Karen DeYoung, Anthony Faiola and Samantha Schmidt, “Trump says he has secured a vast U.S. stake in Venezuelan oil industry,” The Washington Post, 28 Aug 2026. The Post names the counterparty as Alejandro Betancourt, whose company North American Blue Energy Partners has raised output to nearly 200,000 b/d from 18,000 in two years, and reports that he has been the subject of money-laundering investigations in several countries and is the subject of a Swiss arrest warrant; the Post also reports that he has not been charged and that his attorney denies any involvement in money laundering. The 55% figure is from AP, 28 Aug 2026.</w:t>
      </w:r>
    </w:p>
  </w:footnote>
  <w:footnote w:id="4">
    <w:p>
      <w:pPr>
        <w:spacing w:after="40"/>
      </w:pPr>
      <w:r>
        <w:rPr>
          <w:rStyle w:val="FootnoteReference"/>
        </w:rPr>
        <w:footnoteRef/>
      </w:r>
      <w:r>
        <w:rPr>
          <w:rFonts w:ascii="Times New Roman" w:cs="Times New Roman" w:eastAsia="Times New Roman" w:hAnsi="Times New Roman"/>
          <w:sz w:val="16"/>
          <w:szCs w:val="16"/>
        </w:rPr>
        <w:t xml:space="preserve">The Washington Post, 28 Aug 2026; the quoted statement is from Pentagon spokesman Sean Parnell.</w:t>
      </w:r>
    </w:p>
  </w:footnote>
  <w:footnote w:id="5">
    <w:p>
      <w:pPr>
        <w:spacing w:after="40"/>
      </w:pPr>
      <w:r>
        <w:rPr>
          <w:rStyle w:val="FootnoteReference"/>
        </w:rPr>
        <w:footnoteRef/>
      </w:r>
      <w:r>
        <w:rPr>
          <w:rFonts w:ascii="Times New Roman" w:cs="Times New Roman" w:eastAsia="Times New Roman" w:hAnsi="Times New Roman"/>
          <w:sz w:val="16"/>
          <w:szCs w:val="16"/>
        </w:rPr>
        <w:t xml:space="preserve">France 24 en español, 28 Aug 2026, reporting with Reuters, EFE and Venezuelan outlets.</w:t>
      </w:r>
    </w:p>
  </w:footnote>
  <w:footnote w:id="6">
    <w:p>
      <w:pPr>
        <w:spacing w:after="40"/>
      </w:pPr>
      <w:r>
        <w:rPr>
          <w:rStyle w:val="FootnoteReference"/>
        </w:rPr>
        <w:footnoteRef/>
      </w:r>
      <w:r>
        <w:rPr>
          <w:rFonts w:ascii="Times New Roman" w:cs="Times New Roman" w:eastAsia="Times New Roman" w:hAnsi="Times New Roman"/>
          <w:sz w:val="16"/>
          <w:szCs w:val="16"/>
        </w:rPr>
        <w:t xml:space="preserve">Constitución de la República Bolivariana de Venezuela (1999, as amended 2009). Text per Justia Venezuela; Articles 12 and 150 also checked against the Contraloría General de la República’s published PDF.</w:t>
      </w:r>
    </w:p>
  </w:footnote>
  <w:footnote w:id="7">
    <w:p>
      <w:pPr>
        <w:spacing w:after="40"/>
      </w:pPr>
      <w:r>
        <w:rPr>
          <w:rStyle w:val="FootnoteReference"/>
        </w:rPr>
        <w:footnoteRef/>
      </w:r>
      <w:r>
        <w:rPr>
          <w:rFonts w:ascii="Times New Roman" w:cs="Times New Roman" w:eastAsia="Times New Roman" w:hAnsi="Times New Roman"/>
          <w:sz w:val="16"/>
          <w:szCs w:val="16"/>
        </w:rPr>
        <w:t xml:space="preserve">Ley de Reforma de la Ley Orgánica de Hidrocarburos, Gaceta Oficial N° 6.978 Extraordinario, 29 Jan 2026, promulgated by Delcy Rodríguez under Article 213 of the Constitution. Articles quoted here were verified against the official PDF at gacetaoficial.gob.ve.</w:t>
      </w:r>
    </w:p>
  </w:footnote>
  <w:footnote w:id="8">
    <w:p>
      <w:pPr>
        <w:spacing w:after="40"/>
      </w:pPr>
      <w:r>
        <w:rPr>
          <w:rStyle w:val="FootnoteReference"/>
        </w:rPr>
        <w:footnoteRef/>
      </w:r>
      <w:r>
        <w:rPr>
          <w:rFonts w:ascii="Times New Roman" w:cs="Times New Roman" w:eastAsia="Times New Roman" w:hAnsi="Times New Roman"/>
          <w:sz w:val="16"/>
          <w:szCs w:val="16"/>
        </w:rPr>
        <w:t xml:space="preserve">Hausmann, post on X, quoted by The Washington Post, 28 Aug 2026; the bracketed word is the Post’s. France 24 carried a Spanish rendering of the same post.</w:t>
      </w:r>
    </w:p>
  </w:footnote>
  <w:footnote w:id="9">
    <w:p>
      <w:pPr>
        <w:spacing w:after="40"/>
      </w:pPr>
      <w:r>
        <w:rPr>
          <w:rStyle w:val="FootnoteReference"/>
        </w:rPr>
        <w:footnoteRef/>
      </w:r>
      <w:r>
        <w:rPr>
          <w:rFonts w:ascii="Times New Roman" w:cs="Times New Roman" w:eastAsia="Times New Roman" w:hAnsi="Times New Roman"/>
          <w:sz w:val="16"/>
          <w:szCs w:val="16"/>
        </w:rPr>
        <w:t xml:space="preserve">Darren Woods, quoted by AP, 28 Aug 2026; Chevron’s declining to comment per ABC News; David Goldwyn, Goldwyn Global Strategies, quoted by The Washington Post, 28 Aug 2026.</w:t>
      </w:r>
    </w:p>
  </w:footnote>
  <w:footnote w:id="10">
    <w:p>
      <w:pPr>
        <w:spacing w:after="40"/>
      </w:pPr>
      <w:r>
        <w:rPr>
          <w:rStyle w:val="FootnoteReference"/>
        </w:rPr>
        <w:footnoteRef/>
      </w:r>
      <w:r>
        <w:rPr>
          <w:rFonts w:ascii="Times New Roman" w:cs="Times New Roman" w:eastAsia="Times New Roman" w:hAnsi="Times New Roman"/>
          <w:sz w:val="16"/>
          <w:szCs w:val="16"/>
        </w:rPr>
        <w:t xml:space="preserve">Production figures: The Washington Post, 28 Aug 2026; “datos oficiales” cited by Infobae, 29 Aug 2026; OPEC figures cited by France 24, 28 Aug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2026-08-29T14:29:25.015Z</dcterms:created>
  <dcterms:modified xsi:type="dcterms:W3CDTF">2026-08-29T14:29:25.015Z</dcterms:modified>
</cp:coreProperties>
</file>

<file path=docProps/custom.xml><?xml version="1.0" encoding="utf-8"?>
<Properties xmlns="http://schemas.openxmlformats.org/officeDocument/2006/custom-properties" xmlns:vt="http://schemas.openxmlformats.org/officeDocument/2006/docPropsVTypes"/>
</file>