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120"/>
        <w:jc w:val="left"/>
      </w:pPr>
      <w:r>
        <w:rPr>
          <w:rFonts w:ascii="Calibri" w:cs="Calibri" w:eastAsia="Calibri" w:hAnsi="Calibri"/>
          <w:b/>
          <w:bCs/>
          <w:color w:val="B08D3F"/>
          <w:spacing w:val="20"/>
          <w:sz w:val="20"/>
          <w:szCs w:val="20"/>
        </w:rPr>
        <w:t xml:space="preserve">CIO EMERGING MARKETS INVESTMENT OFFICE</w:t>
      </w:r>
    </w:p>
    <w:p>
      <w:pPr>
        <w:pBdr>
          <w:bottom w:val="single" w:color="B08D3F" w:sz="10" w:space="10"/>
        </w:pBdr>
        <w:spacing w:after="260"/>
      </w:pPr>
    </w:p>
    <w:p>
      <w:pPr>
        <w:spacing w:after="80"/>
      </w:pPr>
      <w:r>
        <w:rPr>
          <w:rFonts w:ascii="Calibri" w:cs="Calibri" w:eastAsia="Calibri" w:hAnsi="Calibri"/>
          <w:b/>
          <w:bCs/>
          <w:color w:val="16283F"/>
          <w:sz w:val="56"/>
          <w:szCs w:val="56"/>
        </w:rPr>
        <w:t xml:space="preserve">Emerging Markets Investment Office Manual</w:t>
      </w:r>
    </w:p>
    <w:p>
      <w:pPr>
        <w:spacing w:after="700"/>
      </w:pPr>
      <w:r>
        <w:rPr>
          <w:rFonts w:ascii="Calibri" w:cs="Calibri" w:eastAsia="Calibri" w:hAnsi="Calibri"/>
          <w:i/>
          <w:iCs/>
          <w:color w:val="44607D"/>
          <w:sz w:val="28"/>
          <w:szCs w:val="28"/>
        </w:rPr>
        <w:t xml:space="preserve">Documentation of Methodology and Processes</w:t>
      </w:r>
    </w:p>
    <w:p>
      <w:pPr>
        <w:spacing w:after="40"/>
      </w:pPr>
      <w:r>
        <w:rPr>
          <w:rFonts w:ascii="Calibri" w:cs="Calibri" w:eastAsia="Calibri" w:hAnsi="Calibri"/>
          <w:b/>
          <w:bCs/>
          <w:color w:val="B08D3F"/>
          <w:spacing w:val="20"/>
          <w:sz w:val="18"/>
          <w:szCs w:val="18"/>
        </w:rPr>
        <w:t xml:space="preserve">VERSION</w:t>
      </w:r>
    </w:p>
    <w:p>
      <w:pPr>
        <w:spacing w:after="280"/>
      </w:pPr>
      <w:r>
        <w:rPr>
          <w:rFonts w:ascii="Calibri" w:cs="Calibri" w:eastAsia="Calibri" w:hAnsi="Calibri"/>
          <w:color w:val="222222"/>
          <w:sz w:val="22"/>
          <w:szCs w:val="22"/>
        </w:rPr>
        <w:t xml:space="preserve">June 2026</w:t>
      </w:r>
    </w:p>
    <w:p>
      <w:pPr>
        <w:spacing w:after="40"/>
      </w:pPr>
      <w:r>
        <w:rPr>
          <w:rFonts w:ascii="Calibri" w:cs="Calibri" w:eastAsia="Calibri" w:hAnsi="Calibri"/>
          <w:b/>
          <w:bCs/>
          <w:color w:val="B08D3F"/>
          <w:spacing w:val="20"/>
          <w:sz w:val="18"/>
          <w:szCs w:val="18"/>
        </w:rPr>
        <w:t xml:space="preserve">CONTACTS</w:t>
      </w:r>
    </w:p>
    <w:p>
      <w:pPr>
        <w:spacing w:after="20"/>
      </w:pPr>
      <w:r>
        <w:rPr>
          <w:rFonts w:ascii="Calibri" w:cs="Calibri" w:eastAsia="Calibri" w:hAnsi="Calibri"/>
          <w:color w:val="222222"/>
          <w:sz w:val="22"/>
          <w:szCs w:val="22"/>
        </w:rPr>
        <w:t xml:space="preserve">Alejo Czerwonko</w:t>
      </w:r>
    </w:p>
    <w:p>
      <w:pPr>
        <w:spacing w:after="20"/>
      </w:pPr>
      <w:r>
        <w:rPr>
          <w:rFonts w:ascii="Calibri" w:cs="Calibri" w:eastAsia="Calibri" w:hAnsi="Calibri"/>
          <w:color w:val="222222"/>
          <w:sz w:val="22"/>
          <w:szCs w:val="22"/>
        </w:rPr>
        <w:t xml:space="preserve">Tilmann Kolb</w:t>
      </w:r>
    </w:p>
    <w:p>
      <w:r>
        <w:br w:type="page"/>
      </w:r>
    </w:p>
    <w:p>
      <w:pPr>
        <w:sectPr>
          <w:pgSz w:w="12240" w:h="15840" w:orient="portrait"/>
          <w:pgMar w:top="1080" w:right="1260" w:bottom="1080" w:left="1260" w:header="708" w:footer="708" w:gutter="0"/>
          <w:pgNumType/>
          <w:docGrid w:linePitch="360"/>
        </w:sectPr>
      </w:pPr>
    </w:p>
    <w:p>
      <w:pPr>
        <w:spacing w:after="240"/>
      </w:pPr>
      <w:r>
        <w:rPr>
          <w:rFonts w:ascii="Calibri" w:cs="Calibri" w:eastAsia="Calibri" w:hAnsi="Calibri"/>
          <w:b/>
          <w:bCs/>
          <w:color w:val="16283F"/>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B08D3F" w:sz="6" w:space="6"/>
        </w:pBdr>
        <w:spacing w:after="200" w:before="480"/>
      </w:pPr>
      <w:r>
        <w:rPr>
          <w:rFonts w:ascii="Calibri" w:cs="Calibri" w:eastAsia="Calibri" w:hAnsi="Calibri"/>
          <w:b/>
          <w:bCs/>
          <w:color w:val="B08D3F"/>
          <w:sz w:val="30"/>
          <w:szCs w:val="30"/>
        </w:rPr>
        <w:t xml:space="preserve">1.  </w:t>
      </w:r>
      <w:r>
        <w:rPr>
          <w:rFonts w:ascii="Calibri" w:cs="Calibri" w:eastAsia="Calibri" w:hAnsi="Calibri"/>
          <w:b/>
          <w:bCs/>
          <w:color w:val="16283F"/>
          <w:sz w:val="30"/>
          <w:szCs w:val="30"/>
        </w:rPr>
        <w:t xml:space="preserve">General Overview</w:t>
      </w:r>
    </w:p>
    <w:p>
      <w:pPr>
        <w:pStyle w:val="Heading2"/>
        <w:spacing w:after="140" w:before="320"/>
      </w:pPr>
      <w:r>
        <w:rPr>
          <w:rFonts w:ascii="Calibri" w:cs="Calibri" w:eastAsia="Calibri" w:hAnsi="Calibri"/>
          <w:b/>
          <w:bCs/>
          <w:color w:val="44607D"/>
          <w:sz w:val="24"/>
          <w:szCs w:val="24"/>
        </w:rPr>
        <w:t xml:space="preserve">1.1  </w:t>
      </w:r>
      <w:r>
        <w:rPr>
          <w:rFonts w:ascii="Calibri" w:cs="Calibri" w:eastAsia="Calibri" w:hAnsi="Calibri"/>
          <w:b/>
          <w:bCs/>
          <w:color w:val="1F3A5C"/>
          <w:sz w:val="24"/>
          <w:szCs w:val="24"/>
        </w:rPr>
        <w:t xml:space="preserve">Purpose &amp; Scope</w:t>
      </w:r>
    </w:p>
    <w:p>
      <w:pPr>
        <w:spacing w:after="160" w:line="288"/>
        <w:jc w:val="left"/>
      </w:pPr>
      <w:r>
        <w:rPr>
          <w:rFonts w:ascii="Calibri" w:cs="Calibri" w:eastAsia="Calibri" w:hAnsi="Calibri"/>
          <w:color w:val="222222"/>
          <w:sz w:val="21"/>
          <w:szCs w:val="21"/>
        </w:rPr>
        <w:t xml:space="preserve">This document describes the process and methodology that apply to all analysts of the virtual CIO Emerging Markets Investment Office, whose members are part of the Americas and EMEA investment offices, as well as members of the CIO who work functionally on emerging markets investment recommendations across asset classes.</w:t>
      </w:r>
    </w:p>
    <w:p>
      <w:pPr>
        <w:spacing w:after="160" w:line="288"/>
        <w:jc w:val="left"/>
      </w:pPr>
      <w:r>
        <w:rPr>
          <w:rFonts w:ascii="Calibri" w:cs="Calibri" w:eastAsia="Calibri" w:hAnsi="Calibri"/>
          <w:b w:val="false"/>
          <w:bCs w:val="false"/>
          <w:i w:val="false"/>
          <w:iCs w:val="false"/>
          <w:color w:val="222222"/>
          <w:sz w:val="21"/>
          <w:szCs w:val="21"/>
        </w:rPr>
        <w:t xml:space="preserve">For the purposes of this manual, “emerging markets” refers generally to countries that are part of one of the investible indices commonly tracked by global investors and listed in </w:t>
      </w:r>
      <w:r>
        <w:rPr>
          <w:rFonts w:ascii="Calibri" w:cs="Calibri" w:eastAsia="Calibri" w:hAnsi="Calibri"/>
          <w:b/>
          <w:bCs/>
          <w:i w:val="false"/>
          <w:iCs w:val="false"/>
          <w:color w:val="222222"/>
          <w:sz w:val="21"/>
          <w:szCs w:val="21"/>
        </w:rPr>
        <w:t xml:space="preserve">Section 1.2</w:t>
      </w:r>
      <w:r>
        <w:rPr>
          <w:rFonts w:ascii="Calibri" w:cs="Calibri" w:eastAsia="Calibri" w:hAnsi="Calibri"/>
          <w:b w:val="false"/>
          <w:bCs w:val="false"/>
          <w:i w:val="false"/>
          <w:iCs w:val="false"/>
          <w:color w:val="222222"/>
          <w:sz w:val="21"/>
          <w:szCs w:val="21"/>
        </w:rPr>
        <w:t xml:space="preserve"> below.</w:t>
      </w:r>
    </w:p>
    <w:p>
      <w:pPr>
        <w:spacing w:after="160" w:line="288"/>
        <w:jc w:val="left"/>
      </w:pPr>
      <w:r>
        <w:rPr>
          <w:rFonts w:ascii="Calibri" w:cs="Calibri" w:eastAsia="Calibri" w:hAnsi="Calibri"/>
          <w:color w:val="222222"/>
          <w:sz w:val="21"/>
          <w:szCs w:val="21"/>
        </w:rPr>
        <w:t xml:space="preserve">The CIO Emerging Markets team works closely with colleagues in Asia in the APAC Investment Office, sharing indices, coverage, methodologies and platforms, and frequently co-authoring investment themes and recommendations. Asia is often a large component of the main indices the team covers.</w:t>
      </w:r>
    </w:p>
    <w:p>
      <w:pPr>
        <w:pStyle w:val="Heading2"/>
        <w:spacing w:after="140" w:before="320"/>
      </w:pPr>
      <w:r>
        <w:rPr>
          <w:rFonts w:ascii="Calibri" w:cs="Calibri" w:eastAsia="Calibri" w:hAnsi="Calibri"/>
          <w:b/>
          <w:bCs/>
          <w:color w:val="44607D"/>
          <w:sz w:val="24"/>
          <w:szCs w:val="24"/>
        </w:rPr>
        <w:t xml:space="preserve">1.2  </w:t>
      </w:r>
      <w:r>
        <w:rPr>
          <w:rFonts w:ascii="Calibri" w:cs="Calibri" w:eastAsia="Calibri" w:hAnsi="Calibri"/>
          <w:b/>
          <w:bCs/>
          <w:color w:val="1F3A5C"/>
          <w:sz w:val="24"/>
          <w:szCs w:val="24"/>
        </w:rPr>
        <w:t xml:space="preserve">Asset Classes &amp; Benchmarks</w:t>
      </w:r>
    </w:p>
    <w:p>
      <w:pPr>
        <w:spacing w:after="160" w:line="288"/>
        <w:jc w:val="left"/>
      </w:pPr>
      <w:r>
        <w:rPr>
          <w:rFonts w:ascii="Calibri" w:cs="Calibri" w:eastAsia="Calibri" w:hAnsi="Calibri"/>
          <w:color w:val="222222"/>
          <w:sz w:val="21"/>
          <w:szCs w:val="21"/>
        </w:rPr>
        <w:t xml:space="preserve">The CIO Emerging Markets team provides analysis and investment recommendations across the following asset classes, regions and instruments:</w:t>
      </w:r>
    </w:p>
    <w:p>
      <w:pPr>
        <w:pStyle w:val="ListParagraph"/>
        <w:numPr>
          <w:ilvl w:val="0"/>
          <w:numId w:val="2"/>
        </w:numPr>
        <w:spacing w:after="100" w:line="276"/>
      </w:pPr>
      <w:r>
        <w:rPr>
          <w:rFonts w:ascii="Calibri" w:cs="Calibri" w:eastAsia="Calibri" w:hAnsi="Calibri"/>
          <w:b w:val="false"/>
          <w:bCs w:val="false"/>
          <w:i w:val="false"/>
          <w:iCs w:val="false"/>
          <w:color w:val="222222"/>
          <w:sz w:val="21"/>
          <w:szCs w:val="21"/>
        </w:rPr>
        <w:t xml:space="preserve">Asset classes: emerging markets FX &amp; rates, emerging markets bonds, and emerging markets equities</w:t>
      </w:r>
    </w:p>
    <w:p>
      <w:pPr>
        <w:pStyle w:val="ListParagraph"/>
        <w:numPr>
          <w:ilvl w:val="0"/>
          <w:numId w:val="2"/>
        </w:numPr>
        <w:spacing w:after="100" w:line="276"/>
      </w:pPr>
      <w:r>
        <w:rPr>
          <w:rFonts w:ascii="Calibri" w:cs="Calibri" w:eastAsia="Calibri" w:hAnsi="Calibri"/>
          <w:b w:val="false"/>
          <w:bCs w:val="false"/>
          <w:i w:val="false"/>
          <w:iCs w:val="false"/>
          <w:color w:val="222222"/>
          <w:sz w:val="21"/>
          <w:szCs w:val="21"/>
        </w:rPr>
        <w:t xml:space="preserve">Regions: Latin America (LatAm), emerging Europe, Middle East &amp; Africa, and — in collaboration with colleagues in Asia — emerging Asia</w:t>
      </w:r>
    </w:p>
    <w:p>
      <w:pPr>
        <w:pStyle w:val="ListParagraph"/>
        <w:numPr>
          <w:ilvl w:val="0"/>
          <w:numId w:val="2"/>
        </w:numPr>
        <w:spacing w:after="100" w:line="276"/>
      </w:pPr>
      <w:r>
        <w:rPr>
          <w:rFonts w:ascii="Calibri" w:cs="Calibri" w:eastAsia="Calibri" w:hAnsi="Calibri"/>
          <w:b w:val="false"/>
          <w:bCs w:val="false"/>
          <w:i w:val="false"/>
          <w:iCs w:val="false"/>
          <w:color w:val="222222"/>
          <w:sz w:val="21"/>
          <w:szCs w:val="21"/>
        </w:rPr>
        <w:t xml:space="preserve">Individual securities: selected corporate and sovereign bonds, and sukuk</w:t>
      </w:r>
    </w:p>
    <w:p>
      <w:pPr>
        <w:pStyle w:val="ListParagraph"/>
        <w:numPr>
          <w:ilvl w:val="0"/>
          <w:numId w:val="2"/>
        </w:numPr>
        <w:spacing w:after="100" w:line="276"/>
      </w:pPr>
      <w:r>
        <w:rPr>
          <w:rFonts w:ascii="Calibri" w:cs="Calibri" w:eastAsia="Calibri" w:hAnsi="Calibri"/>
          <w:b w:val="false"/>
          <w:bCs w:val="false"/>
          <w:i w:val="false"/>
          <w:iCs w:val="false"/>
          <w:color w:val="222222"/>
          <w:sz w:val="21"/>
          <w:szCs w:val="21"/>
        </w:rPr>
        <w:t xml:space="preserve">Individual emerging equity markets and individual currencies</w:t>
      </w:r>
    </w:p>
    <w:p>
      <w:pPr>
        <w:pStyle w:val="ListParagraph"/>
        <w:numPr>
          <w:ilvl w:val="0"/>
          <w:numId w:val="2"/>
        </w:numPr>
        <w:spacing w:after="100" w:line="276"/>
      </w:pPr>
      <w:r>
        <w:rPr>
          <w:rFonts w:ascii="Calibri" w:cs="Calibri" w:eastAsia="Calibri" w:hAnsi="Calibri"/>
          <w:b w:val="false"/>
          <w:bCs w:val="false"/>
          <w:i w:val="false"/>
          <w:iCs w:val="false"/>
          <w:color w:val="222222"/>
          <w:sz w:val="21"/>
          <w:szCs w:val="21"/>
        </w:rPr>
        <w:t xml:space="preserve">Macroeconomic assessments underpinning the above recommendations</w:t>
      </w:r>
    </w:p>
    <w:p>
      <w:pPr>
        <w:spacing w:after="80"/>
      </w:pPr>
    </w:p>
    <w:tbl>
      <w:tblPr>
        <w:tblW w:type="dxa" w:w="9350"/>
        <w:tblBorders>
          <w:top w:val="single" w:color="C9C2B4" w:sz="4"/>
          <w:left w:val="single" w:color="C9C2B4" w:sz="4"/>
          <w:bottom w:val="single" w:color="C9C2B4" w:sz="4"/>
          <w:right w:val="single" w:color="C9C2B4" w:sz="4"/>
          <w:insideH w:val="single" w:color="C9C2B4" w:sz="2"/>
          <w:insideV w:val="single" w:color="C9C2B4" w:sz="2"/>
        </w:tblBorders>
      </w:tblPr>
      <w:tblGrid>
        <w:gridCol w:w="2600"/>
        <w:gridCol w:w="6750"/>
      </w:tblGrid>
      <w:tr>
        <w:trPr>
          <w:tblHeader/>
        </w:trPr>
        <w:tc>
          <w:tcPr>
            <w:tcW w:type="dxa" w:w="2600"/>
            <w:shd w:fill="1F3A5C"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Asset Class</w:t>
            </w:r>
          </w:p>
        </w:tc>
        <w:tc>
          <w:tcPr>
            <w:tcW w:type="dxa" w:w="6750"/>
            <w:shd w:fill="1F3A5C"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Benchmark Index / Universe</w:t>
            </w:r>
          </w:p>
        </w:tc>
      </w:tr>
      <w:tr>
        <w:tc>
          <w:tcPr>
            <w:tcW w:type="dxa" w:w="260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Equities</w:t>
            </w:r>
          </w:p>
        </w:tc>
        <w:tc>
          <w:tcPr>
            <w:tcW w:type="dxa" w:w="675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MSCI Emerging Markets Index</w:t>
            </w:r>
          </w:p>
        </w:tc>
      </w:tr>
      <w:tr>
        <w:tc>
          <w:tcPr>
            <w:tcW w:type="dxa" w:w="260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Bonds</w:t>
            </w:r>
          </w:p>
        </w:tc>
        <w:tc>
          <w:tcPr>
            <w:tcW w:type="dxa" w:w="675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EMBI Global Diversified  •  CEMBI Diversified  •  J.P. Morgan Asia Credit Index (JACI, USD — covered by the APAC IO)  •  Bloomberg USD Sukuk Index  •  GBI-EM</w:t>
            </w:r>
          </w:p>
        </w:tc>
      </w:tr>
      <w:tr>
        <w:tc>
          <w:tcPr>
            <w:tcW w:type="dxa" w:w="260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FX &amp; money markets</w:t>
            </w:r>
          </w:p>
        </w:tc>
        <w:tc>
          <w:tcPr>
            <w:tcW w:type="dxa" w:w="675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Emerging Local Markets Index Plus (ELMI+)</w:t>
            </w:r>
          </w:p>
        </w:tc>
      </w:tr>
      <w:tr>
        <w:tc>
          <w:tcPr>
            <w:tcW w:type="dxa" w:w="260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Thematic / opportunistic</w:t>
            </w:r>
          </w:p>
        </w:tc>
        <w:tc>
          <w:tcPr>
            <w:tcW w:type="dxa" w:w="675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Case-by-case coverage of issuers or currencies outside the indices above (e.g. MSCI Frontier Markets, MSCI Standalone Markets, gold miners)</w:t>
            </w:r>
          </w:p>
        </w:tc>
      </w:tr>
    </w:tbl>
    <w:p>
      <w:pPr>
        <w:pStyle w:val="Heading2"/>
        <w:spacing w:after="140" w:before="320"/>
      </w:pPr>
      <w:r>
        <w:rPr>
          <w:rFonts w:ascii="Calibri" w:cs="Calibri" w:eastAsia="Calibri" w:hAnsi="Calibri"/>
          <w:b/>
          <w:bCs/>
          <w:color w:val="44607D"/>
          <w:sz w:val="24"/>
          <w:szCs w:val="24"/>
        </w:rPr>
        <w:t xml:space="preserve">1.3  </w:t>
      </w:r>
      <w:r>
        <w:rPr>
          <w:rFonts w:ascii="Calibri" w:cs="Calibri" w:eastAsia="Calibri" w:hAnsi="Calibri"/>
          <w:b/>
          <w:bCs/>
          <w:color w:val="1F3A5C"/>
          <w:sz w:val="24"/>
          <w:szCs w:val="24"/>
        </w:rPr>
        <w:t xml:space="preserve">Main Activities</w:t>
      </w:r>
    </w:p>
    <w:p>
      <w:pPr>
        <w:pStyle w:val="Heading3"/>
        <w:spacing w:after="100" w:before="220"/>
      </w:pPr>
      <w:r>
        <w:rPr>
          <w:rFonts w:ascii="Calibri" w:cs="Calibri" w:eastAsia="Calibri" w:hAnsi="Calibri"/>
          <w:b/>
          <w:bCs/>
          <w:i w:val="false"/>
          <w:iCs w:val="false"/>
          <w:color w:val="44607D"/>
          <w:sz w:val="21"/>
          <w:szCs w:val="21"/>
        </w:rPr>
        <w:t xml:space="preserve">EM Macro</w:t>
      </w:r>
    </w:p>
    <w:p>
      <w:pPr>
        <w:spacing w:after="160" w:line="288"/>
        <w:jc w:val="left"/>
      </w:pPr>
      <w:r>
        <w:rPr>
          <w:rFonts w:ascii="Calibri" w:cs="Calibri" w:eastAsia="Calibri" w:hAnsi="Calibri"/>
          <w:color w:val="222222"/>
          <w:sz w:val="21"/>
          <w:szCs w:val="21"/>
        </w:rPr>
        <w:t xml:space="preserve">The view on the global business cycle and macroeconomic developments in emerging markets, and in selected individual EM and DM countries, forms part of the EM Investment Office assessment of EM assets and asset classes. Selected markets include EM and DM countries of high importance to the assets under coverage, whether through their own weight in a benchmark or through high indirect relevance (e.g. implications for global growth prospects, commodity prices, or market sentiment). The team tracks relevant economic developments, participates in internal calls with CIO colleagues covering other regions, and publishes analyses on an ad hoc basis.</w:t>
      </w:r>
    </w:p>
    <w:p>
      <w:pPr>
        <w:pStyle w:val="Heading3"/>
        <w:spacing w:after="100" w:before="220"/>
      </w:pPr>
      <w:r>
        <w:rPr>
          <w:rFonts w:ascii="Calibri" w:cs="Calibri" w:eastAsia="Calibri" w:hAnsi="Calibri"/>
          <w:b/>
          <w:bCs/>
          <w:i w:val="false"/>
          <w:iCs w:val="false"/>
          <w:color w:val="44607D"/>
          <w:sz w:val="21"/>
          <w:szCs w:val="21"/>
        </w:rPr>
        <w:t xml:space="preserve">Emerging Market FX and Rates</w:t>
      </w:r>
    </w:p>
    <w:p>
      <w:pPr>
        <w:spacing w:after="160" w:line="288"/>
        <w:jc w:val="left"/>
      </w:pPr>
      <w:r>
        <w:rPr>
          <w:rFonts w:ascii="Calibri" w:cs="Calibri" w:eastAsia="Calibri" w:hAnsi="Calibri"/>
          <w:color w:val="222222"/>
          <w:sz w:val="21"/>
          <w:szCs w:val="21"/>
        </w:rPr>
        <w:t xml:space="preserve">EM FX &amp; Rates analysts provide investment recommendations for EM currencies and rates (money market and, selectively, local-currency government bonds), combining top-down and bottom-up assessments of the relevant asset classes (ELMI+, GBI-EM) with recommendations for individual markets. Recommendations range from longer-term structural ideas to shorter-term tactical trades. Analysts work closely with the G10 FX team on TAA trades and themes, reverse convertible guidance, and joint publications.</w:t>
      </w:r>
    </w:p>
    <w:p>
      <w:pPr>
        <w:pStyle w:val="Heading3"/>
        <w:spacing w:after="100" w:before="220"/>
      </w:pPr>
      <w:r>
        <w:rPr>
          <w:rFonts w:ascii="Calibri" w:cs="Calibri" w:eastAsia="Calibri" w:hAnsi="Calibri"/>
          <w:b/>
          <w:bCs/>
          <w:i w:val="false"/>
          <w:iCs w:val="false"/>
          <w:color w:val="44607D"/>
          <w:sz w:val="21"/>
          <w:szCs w:val="21"/>
        </w:rPr>
        <w:t xml:space="preserve">Emerging Market Credit</w:t>
      </w:r>
    </w:p>
    <w:p>
      <w:pPr>
        <w:spacing w:after="160" w:line="288"/>
        <w:jc w:val="left"/>
      </w:pPr>
      <w:r>
        <w:rPr>
          <w:rFonts w:ascii="Calibri" w:cs="Calibri" w:eastAsia="Calibri" w:hAnsi="Calibri"/>
          <w:color w:val="222222"/>
          <w:sz w:val="21"/>
          <w:szCs w:val="21"/>
        </w:rPr>
        <w:t xml:space="preserve">CIO Emerging Markets provides recommendations for emerging market credit investments. For covered issuers, this includes the credit outlook, credit risk flags, and relative bond recommendations (against bonds of similar credit rating denominated in the same currency). The credit team also provides top-down assessments and region-, country- or sector-specific views and recommendations, feeding into the advisory business and into tactical global asset allocation decisions, in collaboration with the asset class expert from the global asset allocation (GAA) team. It also assesses the Investment Grade and High Yield sub-segments for EM sovereign and corporate bonds, including spread and total return forecasts relevant to global and intra-EM asset allocation.</w:t>
      </w:r>
    </w:p>
    <w:p>
      <w:pPr>
        <w:pStyle w:val="Heading3"/>
        <w:spacing w:after="100" w:before="220"/>
      </w:pPr>
      <w:r>
        <w:rPr>
          <w:rFonts w:ascii="Calibri" w:cs="Calibri" w:eastAsia="Calibri" w:hAnsi="Calibri"/>
          <w:b/>
          <w:bCs/>
          <w:i w:val="false"/>
          <w:iCs w:val="false"/>
          <w:color w:val="44607D"/>
          <w:sz w:val="21"/>
          <w:szCs w:val="21"/>
        </w:rPr>
        <w:t xml:space="preserve">Emerging Market Equity</w:t>
      </w:r>
    </w:p>
    <w:p>
      <w:pPr>
        <w:spacing w:after="160" w:line="288"/>
        <w:jc w:val="left"/>
      </w:pPr>
      <w:r>
        <w:rPr>
          <w:rFonts w:ascii="Calibri" w:cs="Calibri" w:eastAsia="Calibri" w:hAnsi="Calibri"/>
          <w:color w:val="222222"/>
          <w:sz w:val="21"/>
          <w:szCs w:val="21"/>
        </w:rPr>
        <w:t xml:space="preserve">The team publishes recommendations on emerging market equities, providing factual valuation information for EM equities overall — relative to their own history and to developed markets — alongside guidance on specific regions and markets. Markets are rated Least Attractive, Unattractive, Neutral, Attractive or Most Attractive, based on the market's expected absolute return against cash over the next 12 months, in line with the CIO global equities rating methodology (see Section 5.2).</w:t>
      </w:r>
    </w:p>
    <w:p>
      <w:pPr>
        <w:pStyle w:val="Heading2"/>
        <w:spacing w:after="140" w:before="320"/>
      </w:pPr>
      <w:r>
        <w:rPr>
          <w:rFonts w:ascii="Calibri" w:cs="Calibri" w:eastAsia="Calibri" w:hAnsi="Calibri"/>
          <w:b/>
          <w:bCs/>
          <w:color w:val="44607D"/>
          <w:sz w:val="24"/>
          <w:szCs w:val="24"/>
        </w:rPr>
        <w:t xml:space="preserve">1.4  </w:t>
      </w:r>
      <w:r>
        <w:rPr>
          <w:rFonts w:ascii="Calibri" w:cs="Calibri" w:eastAsia="Calibri" w:hAnsi="Calibri"/>
          <w:b/>
          <w:bCs/>
          <w:color w:val="1F3A5C"/>
          <w:sz w:val="24"/>
          <w:szCs w:val="24"/>
        </w:rPr>
        <w:t xml:space="preserve">Publications</w:t>
      </w:r>
    </w:p>
    <w:p>
      <w:pPr>
        <w:spacing w:after="160" w:line="288"/>
        <w:jc w:val="left"/>
      </w:pPr>
      <w:r>
        <w:rPr>
          <w:rFonts w:ascii="Calibri" w:cs="Calibri" w:eastAsia="Calibri" w:hAnsi="Calibri"/>
          <w:color w:val="222222"/>
          <w:sz w:val="21"/>
          <w:szCs w:val="21"/>
        </w:rPr>
        <w:t xml:space="preserve">The table below summarizes the team's regular and ad hoc publication series.</w:t>
      </w:r>
    </w:p>
    <w:p>
      <w:pPr>
        <w:spacing w:after="80"/>
      </w:pPr>
    </w:p>
    <w:tbl>
      <w:tblPr>
        <w:tblW w:type="dxa" w:w="9350"/>
        <w:tblBorders>
          <w:top w:val="single" w:color="C9C2B4" w:sz="4"/>
          <w:left w:val="single" w:color="C9C2B4" w:sz="4"/>
          <w:bottom w:val="single" w:color="C9C2B4" w:sz="4"/>
          <w:right w:val="single" w:color="C9C2B4" w:sz="4"/>
          <w:insideH w:val="single" w:color="C9C2B4" w:sz="2"/>
          <w:insideV w:val="single" w:color="C9C2B4" w:sz="2"/>
        </w:tblBorders>
      </w:tblPr>
      <w:tblGrid>
        <w:gridCol w:w="2600"/>
        <w:gridCol w:w="2000"/>
        <w:gridCol w:w="4750"/>
      </w:tblGrid>
      <w:tr>
        <w:trPr>
          <w:tblHeader/>
        </w:trPr>
        <w:tc>
          <w:tcPr>
            <w:tcW w:type="dxa" w:w="2600"/>
            <w:shd w:fill="1F3A5C"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Publication</w:t>
            </w:r>
          </w:p>
        </w:tc>
        <w:tc>
          <w:tcPr>
            <w:tcW w:type="dxa" w:w="2000"/>
            <w:shd w:fill="1F3A5C"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Cadence</w:t>
            </w:r>
          </w:p>
        </w:tc>
        <w:tc>
          <w:tcPr>
            <w:tcW w:type="dxa" w:w="4750"/>
            <w:shd w:fill="1F3A5C"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What it covers</w:t>
            </w:r>
          </w:p>
        </w:tc>
      </w:tr>
      <w:tr>
        <w:tc>
          <w:tcPr>
            <w:tcW w:type="dxa" w:w="260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Investing in emerging markets</w:t>
            </w:r>
          </w:p>
        </w:tc>
        <w:tc>
          <w:tcPr>
            <w:tcW w:type="dxa" w:w="200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w:t>
            </w:r>
          </w:p>
        </w:tc>
        <w:tc>
          <w:tcPr>
            <w:tcW w:type="dxa" w:w="475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Cross-asset guidance and specific investment ideas; thematic investment ideas and trends; EM FX dynamics and ad-hoc updates; country-specific investment issues</w:t>
            </w:r>
          </w:p>
        </w:tc>
      </w:tr>
      <w:tr>
        <w:tc>
          <w:tcPr>
            <w:tcW w:type="dxa" w:w="260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Emerging Market Bond Top List and Themes</w:t>
            </w:r>
          </w:p>
        </w:tc>
        <w:tc>
          <w:tcPr>
            <w:tcW w:type="dxa" w:w="200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Monthly</w:t>
            </w:r>
          </w:p>
        </w:tc>
        <w:tc>
          <w:tcPr>
            <w:tcW w:type="dxa" w:w="475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Top-down and bottom-up views on key opportunities and risks in EM hard-currency credit, plus an update on the Top Emerging Market Bonds List and related investment lists</w:t>
            </w:r>
          </w:p>
        </w:tc>
      </w:tr>
      <w:tr>
        <w:tc>
          <w:tcPr>
            <w:tcW w:type="dxa" w:w="260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Emerging market bonds</w:t>
            </w:r>
          </w:p>
        </w:tc>
        <w:tc>
          <w:tcPr>
            <w:tcW w:type="dxa" w:w="200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Ad hoc</w:t>
            </w:r>
          </w:p>
        </w:tc>
        <w:tc>
          <w:tcPr>
            <w:tcW w:type="dxa" w:w="475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Credit views and initiation reports; every new issuer covered requires an initiation report setting out the investment basis, credit risk, fundamental outlook and CIO's credit assessment</w:t>
            </w:r>
          </w:p>
        </w:tc>
      </w:tr>
      <w:tr>
        <w:tc>
          <w:tcPr>
            <w:tcW w:type="dxa" w:w="260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Emerging market equities</w:t>
            </w:r>
          </w:p>
        </w:tc>
        <w:tc>
          <w:tcPr>
            <w:tcW w:type="dxa" w:w="200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Regular</w:t>
            </w:r>
          </w:p>
        </w:tc>
        <w:tc>
          <w:tcPr>
            <w:tcW w:type="dxa" w:w="475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Recommendations on most- and least-preferred equity markets, and the overall view on the asset class</w:t>
            </w:r>
          </w:p>
        </w:tc>
      </w:tr>
      <w:tr>
        <w:tc>
          <w:tcPr>
            <w:tcW w:type="dxa" w:w="260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Emerging Markets Bond List</w:t>
            </w:r>
          </w:p>
        </w:tc>
        <w:tc>
          <w:tcPr>
            <w:tcW w:type="dxa" w:w="200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Weekly (more frequent updates possible)</w:t>
            </w:r>
          </w:p>
        </w:tc>
        <w:tc>
          <w:tcPr>
            <w:tcW w:type="dxa" w:w="475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Relative value bond recommendations for all liquid EM bonds covered, including the Top Emerging Markets Bond List of highest-conviction names</w:t>
            </w:r>
          </w:p>
        </w:tc>
      </w:tr>
      <w:tr>
        <w:tc>
          <w:tcPr>
            <w:tcW w:type="dxa" w:w="260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Issuer and Bond Universe</w:t>
            </w:r>
          </w:p>
        </w:tc>
        <w:tc>
          <w:tcPr>
            <w:tcW w:type="dxa" w:w="200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Regularly updated — internal only</w:t>
            </w:r>
          </w:p>
        </w:tc>
        <w:tc>
          <w:tcPr>
            <w:tcW w:type="dxa" w:w="475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Overview of current issuers and bonds covered by the CIO, with descriptive information (country, sector, ratings) and the responsible analyst; maintained by the CIO DM Credit team</w:t>
            </w:r>
          </w:p>
        </w:tc>
      </w:tr>
      <w:tr>
        <w:tc>
          <w:tcPr>
            <w:tcW w:type="dxa" w:w="260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Sukuk List</w:t>
            </w:r>
          </w:p>
        </w:tc>
        <w:tc>
          <w:tcPr>
            <w:tcW w:type="dxa" w:w="200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Monthly</w:t>
            </w:r>
          </w:p>
        </w:tc>
        <w:tc>
          <w:tcPr>
            <w:tcW w:type="dxa" w:w="475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CIO views on key developments in sukuk markets, plus an update on the Top Sukuk List</w:t>
            </w:r>
          </w:p>
        </w:tc>
      </w:tr>
      <w:tr>
        <w:tc>
          <w:tcPr>
            <w:tcW w:type="dxa" w:w="260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Emerging Markets Bank Capital Monitor</w:t>
            </w:r>
          </w:p>
        </w:tc>
        <w:tc>
          <w:tcPr>
            <w:tcW w:type="dxa" w:w="200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Monthly</w:t>
            </w:r>
          </w:p>
        </w:tc>
        <w:tc>
          <w:tcPr>
            <w:tcW w:type="dxa" w:w="475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Subordinated instruments of EM (Asia and LatAm) financial institutions, flagged attractive / fair / expensive, including sell recommendations</w:t>
            </w:r>
          </w:p>
        </w:tc>
      </w:tr>
      <w:tr>
        <w:tc>
          <w:tcPr>
            <w:tcW w:type="dxa" w:w="260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Asian Financials Subordinated Debt Monitor</w:t>
            </w:r>
          </w:p>
        </w:tc>
        <w:tc>
          <w:tcPr>
            <w:tcW w:type="dxa" w:w="200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w:t>
            </w:r>
          </w:p>
        </w:tc>
        <w:tc>
          <w:tcPr>
            <w:tcW w:type="dxa" w:w="475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Subordinated instruments of financial institutions and insurers issued out of Asia, flagged attractive / fair / expensive, including sell recommendations and instrument-level detail from prospectus analysis</w:t>
            </w:r>
          </w:p>
        </w:tc>
      </w:tr>
      <w:tr>
        <w:tc>
          <w:tcPr>
            <w:tcW w:type="dxa" w:w="260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Currency Comments</w:t>
            </w:r>
          </w:p>
        </w:tc>
        <w:tc>
          <w:tcPr>
            <w:tcW w:type="dxa" w:w="200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As needed</w:t>
            </w:r>
          </w:p>
        </w:tc>
        <w:tc>
          <w:tcPr>
            <w:tcW w:type="dxa" w:w="475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Updates on EM FX dynamics for the asset class or single currencies; also used to issue and update short-term FX recommendations</w:t>
            </w:r>
          </w:p>
        </w:tc>
      </w:tr>
      <w:tr>
        <w:tc>
          <w:tcPr>
            <w:tcW w:type="dxa" w:w="260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FX Reports</w:t>
            </w:r>
          </w:p>
        </w:tc>
        <w:tc>
          <w:tcPr>
            <w:tcW w:type="dxa" w:w="200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Updated regularly (typically monthly)</w:t>
            </w:r>
          </w:p>
        </w:tc>
        <w:tc>
          <w:tcPr>
            <w:tcW w:type="dxa" w:w="475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Fundamental and short-term drivers for individual currency pairs, with quarterly forecasts one year out. Covered pairs: USDMXN, USDBRL, USDZAR, USDILS, EURPLN, EURCZK</w:t>
            </w:r>
          </w:p>
        </w:tc>
      </w:tr>
      <w:tr>
        <w:tc>
          <w:tcPr>
            <w:tcW w:type="dxa" w:w="260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Investing in Brazil</w:t>
            </w:r>
          </w:p>
        </w:tc>
        <w:tc>
          <w:tcPr>
            <w:tcW w:type="dxa" w:w="200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w:t>
            </w:r>
          </w:p>
        </w:tc>
        <w:tc>
          <w:tcPr>
            <w:tcW w:type="dxa" w:w="475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Cross-asset guidance and investment ideas specific to Brazil</w:t>
            </w:r>
          </w:p>
        </w:tc>
      </w:tr>
      <w:tr>
        <w:tc>
          <w:tcPr>
            <w:tcW w:type="dxa" w:w="260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Investing in Mexico</w:t>
            </w:r>
          </w:p>
        </w:tc>
        <w:tc>
          <w:tcPr>
            <w:tcW w:type="dxa" w:w="200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w:t>
            </w:r>
          </w:p>
        </w:tc>
        <w:tc>
          <w:tcPr>
            <w:tcW w:type="dxa" w:w="475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Cross-asset guidance and investment ideas specific to Mexico</w:t>
            </w:r>
          </w:p>
        </w:tc>
      </w:tr>
      <w:tr>
        <w:tc>
          <w:tcPr>
            <w:tcW w:type="dxa" w:w="260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Weekly – Regional View Emerging Markets</w:t>
            </w:r>
          </w:p>
        </w:tc>
        <w:tc>
          <w:tcPr>
            <w:tcW w:type="dxa" w:w="200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Weekly</w:t>
            </w:r>
          </w:p>
        </w:tc>
        <w:tc>
          <w:tcPr>
            <w:tcW w:type="dxa" w:w="475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Blog-style commentary on EM macroeconomic dynamics and investment implications across asset classes and geographies</w:t>
            </w:r>
          </w:p>
        </w:tc>
      </w:tr>
      <w:tr>
        <w:tc>
          <w:tcPr>
            <w:tcW w:type="dxa" w:w="260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CIO View – Emerging market equities</w:t>
            </w:r>
          </w:p>
        </w:tc>
        <w:tc>
          <w:tcPr>
            <w:tcW w:type="dxa" w:w="200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Monthly</w:t>
            </w:r>
          </w:p>
        </w:tc>
        <w:tc>
          <w:tcPr>
            <w:tcW w:type="dxa" w:w="475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Summary of CIO EM equities views, published alongside the Global CIO monthly letter</w:t>
            </w:r>
          </w:p>
        </w:tc>
      </w:tr>
      <w:tr>
        <w:tc>
          <w:tcPr>
            <w:tcW w:type="dxa" w:w="260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CIO View – Emerging market bonds</w:t>
            </w:r>
          </w:p>
        </w:tc>
        <w:tc>
          <w:tcPr>
            <w:tcW w:type="dxa" w:w="200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Monthly</w:t>
            </w:r>
          </w:p>
        </w:tc>
        <w:tc>
          <w:tcPr>
            <w:tcW w:type="dxa" w:w="475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Summary of CIO EM bonds views, published alongside the Global CIO monthly letter</w:t>
            </w:r>
          </w:p>
        </w:tc>
      </w:tr>
    </w:tbl>
    <w:p>
      <w:pPr>
        <w:spacing w:after="60"/>
      </w:pPr>
    </w:p>
    <w:p>
      <w:pPr>
        <w:spacing w:after="160" w:line="288"/>
        <w:jc w:val="left"/>
      </w:pPr>
      <w:r>
        <w:rPr>
          <w:rFonts w:ascii="Calibri" w:cs="Calibri" w:eastAsia="Calibri" w:hAnsi="Calibri"/>
          <w:b w:val="false"/>
          <w:bCs w:val="false"/>
          <w:i/>
          <w:iCs/>
          <w:color w:val="5B6670"/>
          <w:sz w:val="18"/>
          <w:szCs w:val="18"/>
        </w:rPr>
        <w:t xml:space="preserve">Note: cadence shown as “—” was not specified as a fixed frequency in the source manual; these are ongoing / ad hoc series rather than scheduled releases.</w:t>
      </w:r>
    </w:p>
    <w:p>
      <w:r>
        <w:br w:type="page"/>
      </w:r>
    </w:p>
    <w:p>
      <w:pPr>
        <w:pStyle w:val="Heading1"/>
        <w:pBdr>
          <w:bottom w:val="single" w:color="B08D3F" w:sz="6" w:space="6"/>
        </w:pBdr>
        <w:spacing w:after="200" w:before="480"/>
      </w:pPr>
      <w:r>
        <w:rPr>
          <w:rFonts w:ascii="Calibri" w:cs="Calibri" w:eastAsia="Calibri" w:hAnsi="Calibri"/>
          <w:b/>
          <w:bCs/>
          <w:color w:val="B08D3F"/>
          <w:sz w:val="30"/>
          <w:szCs w:val="30"/>
        </w:rPr>
        <w:t xml:space="preserve">2.  </w:t>
      </w:r>
      <w:r>
        <w:rPr>
          <w:rFonts w:ascii="Calibri" w:cs="Calibri" w:eastAsia="Calibri" w:hAnsi="Calibri"/>
          <w:b/>
          <w:bCs/>
          <w:color w:val="16283F"/>
          <w:sz w:val="30"/>
          <w:szCs w:val="30"/>
        </w:rPr>
        <w:t xml:space="preserve">Reporting Requirements</w:t>
      </w:r>
    </w:p>
    <w:p>
      <w:pPr>
        <w:pStyle w:val="Heading2"/>
        <w:spacing w:after="140" w:before="320"/>
      </w:pPr>
      <w:r>
        <w:rPr>
          <w:rFonts w:ascii="Calibri" w:cs="Calibri" w:eastAsia="Calibri" w:hAnsi="Calibri"/>
          <w:b/>
          <w:bCs/>
          <w:color w:val="44607D"/>
          <w:sz w:val="24"/>
          <w:szCs w:val="24"/>
        </w:rPr>
        <w:t xml:space="preserve">2.1  </w:t>
      </w:r>
      <w:r>
        <w:rPr>
          <w:rFonts w:ascii="Calibri" w:cs="Calibri" w:eastAsia="Calibri" w:hAnsi="Calibri"/>
          <w:b/>
          <w:bCs/>
          <w:color w:val="1F3A5C"/>
          <w:sz w:val="24"/>
          <w:szCs w:val="24"/>
        </w:rPr>
        <w:t xml:space="preserve">Bond Issuer Initiations, Discontinuations &amp; Suspensions</w:t>
      </w:r>
    </w:p>
    <w:p>
      <w:pPr>
        <w:spacing w:after="160" w:line="288"/>
        <w:jc w:val="left"/>
      </w:pPr>
      <w:r>
        <w:rPr>
          <w:rFonts w:ascii="Calibri" w:cs="Calibri" w:eastAsia="Calibri" w:hAnsi="Calibri"/>
          <w:color w:val="222222"/>
          <w:sz w:val="21"/>
          <w:szCs w:val="21"/>
        </w:rPr>
        <w:t xml:space="preserve">Initiations and discontinuations of EM sovereign, quasi-sovereign, and corporate bond issuers must be announced in at least one of the following publication series:</w:t>
      </w:r>
    </w:p>
    <w:p>
      <w:pPr>
        <w:pStyle w:val="ListParagraph"/>
        <w:numPr>
          <w:ilvl w:val="0"/>
          <w:numId w:val="2"/>
        </w:numPr>
        <w:spacing w:after="100" w:line="276"/>
      </w:pPr>
      <w:r>
        <w:rPr>
          <w:rFonts w:ascii="Calibri" w:cs="Calibri" w:eastAsia="Calibri" w:hAnsi="Calibri"/>
          <w:b w:val="false"/>
          <w:bCs w:val="false"/>
          <w:i w:val="false"/>
          <w:iCs w:val="false"/>
          <w:color w:val="222222"/>
          <w:sz w:val="21"/>
          <w:szCs w:val="21"/>
        </w:rPr>
        <w:t xml:space="preserve">Emerging market bonds</w:t>
      </w:r>
    </w:p>
    <w:p>
      <w:pPr>
        <w:pStyle w:val="ListParagraph"/>
        <w:numPr>
          <w:ilvl w:val="0"/>
          <w:numId w:val="2"/>
        </w:numPr>
        <w:spacing w:after="100" w:line="276"/>
      </w:pPr>
      <w:r>
        <w:rPr>
          <w:rFonts w:ascii="Calibri" w:cs="Calibri" w:eastAsia="Calibri" w:hAnsi="Calibri"/>
          <w:b w:val="false"/>
          <w:bCs w:val="false"/>
          <w:i w:val="false"/>
          <w:iCs w:val="false"/>
          <w:color w:val="222222"/>
          <w:sz w:val="21"/>
          <w:szCs w:val="21"/>
        </w:rPr>
        <w:t xml:space="preserve">Emerging Markets Bond List</w:t>
      </w:r>
    </w:p>
    <w:p>
      <w:pPr>
        <w:spacing w:after="160" w:line="288"/>
        <w:jc w:val="left"/>
      </w:pPr>
      <w:r>
        <w:rPr>
          <w:rFonts w:ascii="Calibri" w:cs="Calibri" w:eastAsia="Calibri" w:hAnsi="Calibri"/>
          <w:color w:val="222222"/>
          <w:sz w:val="21"/>
          <w:szCs w:val="21"/>
        </w:rPr>
        <w:t xml:space="preserve">Changes in the recommendation of single bonds are communicated in the EM Bond List or in stand-alone reports.</w:t>
      </w:r>
    </w:p>
    <w:p>
      <w:pPr>
        <w:pStyle w:val="Heading2"/>
        <w:spacing w:after="140" w:before="320"/>
      </w:pPr>
      <w:r>
        <w:rPr>
          <w:rFonts w:ascii="Calibri" w:cs="Calibri" w:eastAsia="Calibri" w:hAnsi="Calibri"/>
          <w:b/>
          <w:bCs/>
          <w:color w:val="44607D"/>
          <w:sz w:val="24"/>
          <w:szCs w:val="24"/>
        </w:rPr>
        <w:t xml:space="preserve">2.2  </w:t>
      </w:r>
      <w:r>
        <w:rPr>
          <w:rFonts w:ascii="Calibri" w:cs="Calibri" w:eastAsia="Calibri" w:hAnsi="Calibri"/>
          <w:b/>
          <w:bCs/>
          <w:color w:val="1F3A5C"/>
          <w:sz w:val="24"/>
          <w:szCs w:val="24"/>
        </w:rPr>
        <w:t xml:space="preserve">Minimum Update Requirements for Credit Issuers</w:t>
      </w:r>
    </w:p>
    <w:p>
      <w:pPr>
        <w:spacing w:after="160" w:line="288"/>
        <w:jc w:val="left"/>
      </w:pPr>
      <w:r>
        <w:rPr>
          <w:rFonts w:ascii="Calibri" w:cs="Calibri" w:eastAsia="Calibri" w:hAnsi="Calibri"/>
          <w:color w:val="222222"/>
          <w:sz w:val="21"/>
          <w:szCs w:val="21"/>
        </w:rPr>
        <w:t xml:space="preserve">Any material change in an issuer's credit quality and/or the analyst's view — where not already reflected in the last available report — requires a published update as soon as possible. Beyond this trigger, there is no defined minimum reporting frequency; update cadence is at the covering analyst's discretion, and the last published CIO view remains valid until it is updated.</w:t>
      </w:r>
    </w:p>
    <w:p>
      <w:pPr>
        <w:spacing w:after="160" w:line="288"/>
        <w:jc w:val="left"/>
      </w:pPr>
      <w:r>
        <w:rPr>
          <w:rFonts w:ascii="Calibri" w:cs="Calibri" w:eastAsia="Calibri" w:hAnsi="Calibri"/>
          <w:color w:val="222222"/>
          <w:sz w:val="21"/>
          <w:szCs w:val="21"/>
        </w:rPr>
        <w:t xml:space="preserve">CIO Credit is not required to publish a report or comment in response to a rating action or credit update from a rating agency.</w:t>
      </w:r>
    </w:p>
    <w:p>
      <w:pPr>
        <w:pStyle w:val="Heading2"/>
        <w:spacing w:after="140" w:before="320"/>
      </w:pPr>
      <w:r>
        <w:rPr>
          <w:rFonts w:ascii="Calibri" w:cs="Calibri" w:eastAsia="Calibri" w:hAnsi="Calibri"/>
          <w:b/>
          <w:bCs/>
          <w:color w:val="44607D"/>
          <w:sz w:val="24"/>
          <w:szCs w:val="24"/>
        </w:rPr>
        <w:t xml:space="preserve">2.3  </w:t>
      </w:r>
      <w:r>
        <w:rPr>
          <w:rFonts w:ascii="Calibri" w:cs="Calibri" w:eastAsia="Calibri" w:hAnsi="Calibri"/>
          <w:b/>
          <w:bCs/>
          <w:color w:val="1F3A5C"/>
          <w:sz w:val="24"/>
          <w:szCs w:val="24"/>
        </w:rPr>
        <w:t xml:space="preserve">Global EM Equity Strategy</w:t>
      </w:r>
    </w:p>
    <w:p>
      <w:pPr>
        <w:spacing w:after="160" w:line="288"/>
        <w:jc w:val="left"/>
      </w:pPr>
      <w:r>
        <w:rPr>
          <w:rFonts w:ascii="Calibri" w:cs="Calibri" w:eastAsia="Calibri" w:hAnsi="Calibri"/>
          <w:color w:val="222222"/>
          <w:sz w:val="21"/>
          <w:szCs w:val="21"/>
        </w:rPr>
        <w:t xml:space="preserve">Changes to the global emerging market equity strategy — i.e. recommendations for most- and least-preferred equity markets — must be communicated in the “Emerging market equities View,” “Investing in emerging markets,” and “Emerging market equities” publications.</w:t>
      </w:r>
    </w:p>
    <w:p>
      <w:pPr>
        <w:pStyle w:val="Heading2"/>
        <w:spacing w:after="140" w:before="320"/>
      </w:pPr>
      <w:r>
        <w:rPr>
          <w:rFonts w:ascii="Calibri" w:cs="Calibri" w:eastAsia="Calibri" w:hAnsi="Calibri"/>
          <w:b/>
          <w:bCs/>
          <w:color w:val="44607D"/>
          <w:sz w:val="24"/>
          <w:szCs w:val="24"/>
        </w:rPr>
        <w:t xml:space="preserve">2.4  </w:t>
      </w:r>
      <w:r>
        <w:rPr>
          <w:rFonts w:ascii="Calibri" w:cs="Calibri" w:eastAsia="Calibri" w:hAnsi="Calibri"/>
          <w:b/>
          <w:bCs/>
          <w:color w:val="1F3A5C"/>
          <w:sz w:val="24"/>
          <w:szCs w:val="24"/>
        </w:rPr>
        <w:t xml:space="preserve">Emerging Market FX Strategy</w:t>
      </w:r>
    </w:p>
    <w:p>
      <w:pPr>
        <w:spacing w:after="160" w:line="288"/>
        <w:jc w:val="left"/>
      </w:pPr>
      <w:r>
        <w:rPr>
          <w:rFonts w:ascii="Calibri" w:cs="Calibri" w:eastAsia="Calibri" w:hAnsi="Calibri"/>
          <w:color w:val="222222"/>
          <w:sz w:val="21"/>
          <w:szCs w:val="21"/>
        </w:rPr>
        <w:t xml:space="preserve">Changes in the intra-EM FX strategy (over- and underweight positioning in individual currencies) are published in a currencies report within the Investing in Emerging Markets series. (This series was previously called Emerging Market currencies; the two were merged in 2026.) Short-term trading recommendations are announced, changed or closed via the FX currency comment series, including “The week ahead.”</w:t>
      </w:r>
    </w:p>
    <w:p>
      <w:pPr>
        <w:pStyle w:val="Heading2"/>
        <w:spacing w:after="140" w:before="320"/>
      </w:pPr>
      <w:r>
        <w:rPr>
          <w:rFonts w:ascii="Calibri" w:cs="Calibri" w:eastAsia="Calibri" w:hAnsi="Calibri"/>
          <w:b/>
          <w:bCs/>
          <w:color w:val="44607D"/>
          <w:sz w:val="24"/>
          <w:szCs w:val="24"/>
        </w:rPr>
        <w:t xml:space="preserve">2.5  </w:t>
      </w:r>
      <w:r>
        <w:rPr>
          <w:rFonts w:ascii="Calibri" w:cs="Calibri" w:eastAsia="Calibri" w:hAnsi="Calibri"/>
          <w:b/>
          <w:bCs/>
          <w:color w:val="1F3A5C"/>
          <w:sz w:val="24"/>
          <w:szCs w:val="24"/>
        </w:rPr>
        <w:t xml:space="preserve">FX Reports</w:t>
      </w:r>
    </w:p>
    <w:p>
      <w:pPr>
        <w:spacing w:after="160" w:line="288"/>
        <w:jc w:val="left"/>
      </w:pPr>
      <w:r>
        <w:rPr>
          <w:rFonts w:ascii="Calibri" w:cs="Calibri" w:eastAsia="Calibri" w:hAnsi="Calibri"/>
          <w:color w:val="222222"/>
          <w:sz w:val="21"/>
          <w:szCs w:val="21"/>
        </w:rPr>
        <w:t xml:space="preserve">Changes in exchange rate forecasts must be communicated in the FX Report for the relevant currency pair, or in the Global Forecasts publication with a timely one-page follow-up.</w:t>
      </w:r>
    </w:p>
    <w:p>
      <w:pPr>
        <w:pStyle w:val="Heading2"/>
        <w:spacing w:after="140" w:before="320"/>
      </w:pPr>
      <w:r>
        <w:rPr>
          <w:rFonts w:ascii="Calibri" w:cs="Calibri" w:eastAsia="Calibri" w:hAnsi="Calibri"/>
          <w:b/>
          <w:bCs/>
          <w:color w:val="44607D"/>
          <w:sz w:val="24"/>
          <w:szCs w:val="24"/>
        </w:rPr>
        <w:t xml:space="preserve">2.6  </w:t>
      </w:r>
      <w:r>
        <w:rPr>
          <w:rFonts w:ascii="Calibri" w:cs="Calibri" w:eastAsia="Calibri" w:hAnsi="Calibri"/>
          <w:b/>
          <w:bCs/>
          <w:color w:val="1F3A5C"/>
          <w:sz w:val="24"/>
          <w:szCs w:val="24"/>
        </w:rPr>
        <w:t xml:space="preserve">Tagging Requirements</w:t>
      </w:r>
    </w:p>
    <w:p>
      <w:pPr>
        <w:spacing w:after="160" w:line="288"/>
        <w:jc w:val="left"/>
      </w:pPr>
      <w:r>
        <w:rPr>
          <w:rFonts w:ascii="Calibri" w:cs="Calibri" w:eastAsia="Calibri" w:hAnsi="Calibri"/>
          <w:color w:val="222222"/>
          <w:sz w:val="21"/>
          <w:szCs w:val="21"/>
        </w:rPr>
        <w:t xml:space="preserve">The CIO does not publish recommendations for issuers or securities blocked by the Control Room and/or appearing on recognized sanctions lists (e.g. those maintained by the United Nations, Switzerland, the European Union, or the United States), or where other restrictions apply. Issuers and bonds must be tagged in the Bamboo template; this triggers an automated Bamboo warning if a restricted issuer or bond is included in a publication. Additional checks may be required for specific publications such as the Emerging Market Bond List.</w:t>
      </w:r>
    </w:p>
    <w:p>
      <w:pPr>
        <w:pStyle w:val="Heading2"/>
        <w:spacing w:after="140" w:before="320"/>
      </w:pPr>
      <w:r>
        <w:rPr>
          <w:rFonts w:ascii="Calibri" w:cs="Calibri" w:eastAsia="Calibri" w:hAnsi="Calibri"/>
          <w:b/>
          <w:bCs/>
          <w:color w:val="44607D"/>
          <w:sz w:val="24"/>
          <w:szCs w:val="24"/>
        </w:rPr>
        <w:t xml:space="preserve">2.7  </w:t>
      </w:r>
      <w:r>
        <w:rPr>
          <w:rFonts w:ascii="Calibri" w:cs="Calibri" w:eastAsia="Calibri" w:hAnsi="Calibri"/>
          <w:b/>
          <w:bCs/>
          <w:color w:val="1F3A5C"/>
          <w:sz w:val="24"/>
          <w:szCs w:val="24"/>
        </w:rPr>
        <w:t xml:space="preserve">Sanctions Disclaimer</w:t>
      </w:r>
    </w:p>
    <w:p>
      <w:pPr>
        <w:spacing w:after="160" w:line="288"/>
        <w:jc w:val="left"/>
      </w:pPr>
      <w:r>
        <w:rPr>
          <w:rFonts w:ascii="Calibri" w:cs="Calibri" w:eastAsia="Calibri" w:hAnsi="Calibri"/>
          <w:color w:val="222222"/>
          <w:sz w:val="21"/>
          <w:szCs w:val="21"/>
        </w:rPr>
        <w:t xml:space="preserve">EM credit reports — including the Emerging Market Bond List and Emerging Market Bond Top List and Themes — carry the following disclaimer, populated in Bamboo:</w:t>
      </w:r>
    </w:p>
    <w:tbl>
      <w:tblPr>
        <w:tblW w:type="pct" w:w="100%"/>
        <w:tblBorders>
          <w:top w:val="single" w:color="1F3A5C" w:sz="4"/>
          <w:left w:val="single" w:color="1F3A5C" w:sz="24"/>
          <w:bottom w:val="single" w:color="1F3A5C" w:sz="4"/>
          <w:right w:val="single" w:color="1F3A5C" w:sz="4"/>
          <w:insideH w:val="single" w:color="auto" w:sz="4"/>
          <w:insideV w:val="single" w:color="auto" w:sz="4"/>
        </w:tblBorders>
      </w:tblPr>
      <w:tblGrid>
        <w:gridCol w:w="9350"/>
      </w:tblGrid>
      <w:tr>
        <w:tc>
          <w:tcPr>
            <w:tcW w:type="dxa" w:w="9350"/>
            <w:shd w:fill="F3F1EC" w:val="clear"/>
            <w:tcMar>
              <w:top w:type="dxa" w:w="160"/>
              <w:left w:type="dxa" w:w="220"/>
              <w:bottom w:type="dxa" w:w="160"/>
              <w:right w:type="dxa" w:w="220"/>
            </w:tcMar>
          </w:tcPr>
          <w:p>
            <w:pPr>
              <w:spacing w:after="0" w:line="276"/>
            </w:pPr>
            <w:r>
              <w:rPr>
                <w:rFonts w:ascii="Calibri" w:cs="Calibri" w:eastAsia="Calibri" w:hAnsi="Calibri"/>
                <w:b w:val="false"/>
                <w:bCs w:val="false"/>
                <w:i/>
                <w:iCs/>
                <w:color w:val="222222"/>
                <w:sz w:val="21"/>
                <w:szCs w:val="21"/>
              </w:rPr>
              <w:t xml:space="preserve">“Please note that all transactions conducted by UBS are consistent with sanctions regulations imposed by Switzerland, the European Union, the United Nations, the United Kingdom, and the United States, per UBS global sanctions policy. UBS opinion as to future investment worthiness assumes no new sanctions are imposed.”</w:t>
            </w:r>
          </w:p>
        </w:tc>
      </w:tr>
    </w:tbl>
    <w:p>
      <w:pPr>
        <w:spacing w:after="120"/>
      </w:pPr>
    </w:p>
    <w:p>
      <w:pPr>
        <w:spacing w:after="160" w:line="288"/>
        <w:jc w:val="left"/>
      </w:pPr>
      <w:r>
        <w:rPr>
          <w:rFonts w:ascii="Calibri" w:cs="Calibri" w:eastAsia="Calibri" w:hAnsi="Calibri"/>
          <w:b w:val="false"/>
          <w:bCs w:val="false"/>
          <w:i w:val="false"/>
          <w:iCs w:val="false"/>
          <w:color w:val="222222"/>
          <w:sz w:val="21"/>
          <w:szCs w:val="21"/>
        </w:rPr>
        <w:t xml:space="preserve">The wording above was last confirmed in a sanctions check on 29 October 2025, with email confirmation from Brian Wilson, Head Sanctions CH and Global Head. Discontinuations of sanctioned issuers must be cleared by BRO first. Russian issuers were discontinued on 23 June 2026 </w:t>
      </w:r>
      <w:r>
        <w:rPr>
          <w:rFonts w:ascii="Calibri" w:cs="Calibri" w:eastAsia="Calibri" w:hAnsi="Calibri"/>
          <w:b w:val="false"/>
          <w:bCs w:val="false"/>
          <w:i/>
          <w:iCs/>
          <w:color w:val="222222"/>
          <w:sz w:val="21"/>
          <w:szCs w:val="21"/>
        </w:rPr>
        <w:t xml:space="preserve">(“Emerging Market Bonds: Discontinuation of credit coverage”)</w:t>
      </w:r>
      <w:r>
        <w:rPr>
          <w:rFonts w:ascii="Calibri" w:cs="Calibri" w:eastAsia="Calibri" w:hAnsi="Calibri"/>
          <w:b w:val="false"/>
          <w:bCs w:val="false"/>
          <w:i w:val="false"/>
          <w:iCs w:val="false"/>
          <w:color w:val="222222"/>
          <w:sz w:val="21"/>
          <w:szCs w:val="21"/>
        </w:rPr>
        <w:t xml:space="preserve">.</w:t>
      </w:r>
    </w:p>
    <w:p>
      <w:r>
        <w:br w:type="page"/>
      </w:r>
    </w:p>
    <w:p>
      <w:pPr>
        <w:pStyle w:val="Heading1"/>
        <w:pBdr>
          <w:bottom w:val="single" w:color="B08D3F" w:sz="6" w:space="6"/>
        </w:pBdr>
        <w:spacing w:after="200" w:before="480"/>
      </w:pPr>
      <w:r>
        <w:rPr>
          <w:rFonts w:ascii="Calibri" w:cs="Calibri" w:eastAsia="Calibri" w:hAnsi="Calibri"/>
          <w:b/>
          <w:bCs/>
          <w:color w:val="B08D3F"/>
          <w:sz w:val="30"/>
          <w:szCs w:val="30"/>
        </w:rPr>
        <w:t xml:space="preserve">3.  </w:t>
      </w:r>
      <w:r>
        <w:rPr>
          <w:rFonts w:ascii="Calibri" w:cs="Calibri" w:eastAsia="Calibri" w:hAnsi="Calibri"/>
          <w:b/>
          <w:bCs/>
          <w:color w:val="16283F"/>
          <w:sz w:val="30"/>
          <w:szCs w:val="30"/>
        </w:rPr>
        <w:t xml:space="preserve">EM FX and Rates – Definitions and Processes</w:t>
      </w:r>
    </w:p>
    <w:p>
      <w:pPr>
        <w:spacing w:after="160" w:line="288"/>
        <w:jc w:val="left"/>
      </w:pPr>
      <w:r>
        <w:rPr>
          <w:rFonts w:ascii="Calibri" w:cs="Calibri" w:eastAsia="Calibri" w:hAnsi="Calibri"/>
          <w:color w:val="222222"/>
          <w:sz w:val="21"/>
          <w:szCs w:val="21"/>
        </w:rPr>
        <w:t xml:space="preserve">CIO EM provides views at the asset class level and for relevant currencies in emerging markets, including fundamental analysis and investment recommendations.</w:t>
      </w:r>
    </w:p>
    <w:p>
      <w:pPr>
        <w:pStyle w:val="Heading2"/>
        <w:spacing w:after="140" w:before="320"/>
      </w:pPr>
      <w:r>
        <w:rPr>
          <w:rFonts w:ascii="Calibri" w:cs="Calibri" w:eastAsia="Calibri" w:hAnsi="Calibri"/>
          <w:b/>
          <w:bCs/>
          <w:color w:val="44607D"/>
          <w:sz w:val="24"/>
          <w:szCs w:val="24"/>
        </w:rPr>
        <w:t xml:space="preserve">3.1  </w:t>
      </w:r>
      <w:r>
        <w:rPr>
          <w:rFonts w:ascii="Calibri" w:cs="Calibri" w:eastAsia="Calibri" w:hAnsi="Calibri"/>
          <w:b/>
          <w:bCs/>
          <w:color w:val="1F3A5C"/>
          <w:sz w:val="24"/>
          <w:szCs w:val="24"/>
        </w:rPr>
        <w:t xml:space="preserve">Universe, Benchmarks and Measurement</w:t>
      </w:r>
    </w:p>
    <w:p>
      <w:pPr>
        <w:spacing w:after="160" w:line="288"/>
        <w:jc w:val="left"/>
      </w:pPr>
      <w:r>
        <w:rPr>
          <w:rFonts w:ascii="Calibri" w:cs="Calibri" w:eastAsia="Calibri" w:hAnsi="Calibri"/>
          <w:color w:val="222222"/>
          <w:sz w:val="21"/>
          <w:szCs w:val="21"/>
        </w:rPr>
        <w:t xml:space="preserve">The investment view on EM currencies uses the JPM ELMI+ and its constituents as a benchmark. Analysts give fundamental guidance, provide exchange rate forecasts, and make investment recommendations — tactical horizon, investment theme, short-term recommendations, and reverse convertibles — including preferred funding currencies, coordinating closely with the G10 FX team to align messaging.</w:t>
      </w:r>
    </w:p>
    <w:p>
      <w:pPr>
        <w:spacing w:after="160" w:line="288"/>
        <w:jc w:val="left"/>
      </w:pPr>
      <w:r>
        <w:rPr>
          <w:rFonts w:ascii="Calibri" w:cs="Calibri" w:eastAsia="Calibri" w:hAnsi="Calibri"/>
          <w:color w:val="222222"/>
          <w:sz w:val="21"/>
          <w:szCs w:val="21"/>
        </w:rPr>
        <w:t xml:space="preserve">Depending on implementation, EM FX strategy performance is measured via an Information Ratio (IR) based on daily excess returns, using cumulative excess returns for the full calendar year, annualized. The IR is converted into a KPI as follows:</w:t>
      </w:r>
    </w:p>
    <w:tbl>
      <w:tblPr>
        <w:tblW w:type="pct" w:w="100%"/>
        <w:tblBorders>
          <w:top w:val="single" w:color="B08D3F" w:sz="4"/>
          <w:left w:val="single" w:color="B08D3F" w:sz="24"/>
          <w:bottom w:val="single" w:color="B08D3F" w:sz="4"/>
          <w:right w:val="single" w:color="B08D3F" w:sz="4"/>
          <w:insideH w:val="single" w:color="auto" w:sz="4"/>
          <w:insideV w:val="single" w:color="auto" w:sz="4"/>
        </w:tblBorders>
      </w:tblPr>
      <w:tblGrid>
        <w:gridCol w:w="9350"/>
      </w:tblGrid>
      <w:tr>
        <w:tc>
          <w:tcPr>
            <w:tcW w:type="dxa" w:w="9350"/>
            <w:shd w:fill="F3F1EC" w:val="clear"/>
            <w:tcMar>
              <w:top w:type="dxa" w:w="160"/>
              <w:left w:type="dxa" w:w="220"/>
              <w:bottom w:type="dxa" w:w="160"/>
              <w:right w:type="dxa" w:w="220"/>
            </w:tcMar>
          </w:tcPr>
          <w:p>
            <w:pPr>
              <w:spacing w:after="80"/>
            </w:pPr>
            <w:r>
              <w:rPr>
                <w:rFonts w:ascii="Calibri" w:cs="Calibri" w:eastAsia="Calibri" w:hAnsi="Calibri"/>
                <w:b/>
                <w:bCs/>
                <w:color w:val="16283F"/>
                <w:sz w:val="21"/>
                <w:szCs w:val="21"/>
              </w:rPr>
              <w:t xml:space="preserve">Performance KPI Formula</w:t>
            </w:r>
          </w:p>
          <w:p>
            <w:pPr>
              <w:spacing w:after="0" w:line="276"/>
            </w:pPr>
            <w:r>
              <w:rPr>
                <w:rFonts w:ascii="Calibri" w:cs="Calibri" w:eastAsia="Calibri" w:hAnsi="Calibri"/>
                <w:b/>
                <w:bCs/>
                <w:i w:val="false"/>
                <w:iCs w:val="false"/>
                <w:color w:val="16283F"/>
                <w:sz w:val="24"/>
                <w:szCs w:val="24"/>
              </w:rPr>
              <w:t xml:space="preserve">KPI  =  100  +  30 × IR</w:t>
            </w:r>
          </w:p>
        </w:tc>
      </w:tr>
    </w:tbl>
    <w:p>
      <w:pPr>
        <w:spacing w:after="120"/>
      </w:pPr>
    </w:p>
    <w:p>
      <w:pPr>
        <w:spacing w:after="160" w:line="288"/>
        <w:jc w:val="left"/>
      </w:pPr>
      <w:r>
        <w:rPr>
          <w:rFonts w:ascii="Calibri" w:cs="Calibri" w:eastAsia="Calibri" w:hAnsi="Calibri"/>
          <w:color w:val="222222"/>
          <w:sz w:val="21"/>
          <w:szCs w:val="21"/>
        </w:rPr>
        <w:t xml:space="preserve">EM currencies held as part of investment themes are measured in line with the TIF process and measurement standard. Short-term recommendations target 1–2 month horizons and can deviate from the House View and published forecasts where such deviation is expected to correct over a short horizon; measurement is aligned with that of regular EM FX recommendations.</w:t>
      </w:r>
    </w:p>
    <w:p>
      <w:pPr>
        <w:pStyle w:val="Heading2"/>
        <w:spacing w:after="140" w:before="320"/>
      </w:pPr>
      <w:r>
        <w:rPr>
          <w:rFonts w:ascii="Calibri" w:cs="Calibri" w:eastAsia="Calibri" w:hAnsi="Calibri"/>
          <w:b/>
          <w:bCs/>
          <w:color w:val="44607D"/>
          <w:sz w:val="24"/>
          <w:szCs w:val="24"/>
        </w:rPr>
        <w:t xml:space="preserve">3.2  </w:t>
      </w:r>
      <w:r>
        <w:rPr>
          <w:rFonts w:ascii="Calibri" w:cs="Calibri" w:eastAsia="Calibri" w:hAnsi="Calibri"/>
          <w:b/>
          <w:bCs/>
          <w:color w:val="1F3A5C"/>
          <w:sz w:val="24"/>
          <w:szCs w:val="24"/>
        </w:rPr>
        <w:t xml:space="preserve">Process — Key Drivers</w:t>
      </w:r>
    </w:p>
    <w:p>
      <w:pPr>
        <w:spacing w:after="160" w:line="288"/>
        <w:jc w:val="left"/>
      </w:pPr>
      <w:r>
        <w:rPr>
          <w:rFonts w:ascii="Calibri" w:cs="Calibri" w:eastAsia="Calibri" w:hAnsi="Calibri"/>
          <w:color w:val="222222"/>
          <w:sz w:val="21"/>
          <w:szCs w:val="21"/>
        </w:rPr>
        <w:t xml:space="preserve">The following drivers are analyzed on an ongoing basis:</w:t>
      </w:r>
    </w:p>
    <w:p>
      <w:pPr>
        <w:pStyle w:val="ListParagraph"/>
        <w:numPr>
          <w:ilvl w:val="0"/>
          <w:numId w:val="2"/>
        </w:numPr>
        <w:spacing w:after="100" w:line="276"/>
      </w:pPr>
      <w:r>
        <w:rPr>
          <w:rFonts w:ascii="Calibri" w:cs="Calibri" w:eastAsia="Calibri" w:hAnsi="Calibri"/>
          <w:b w:val="false"/>
          <w:bCs w:val="false"/>
          <w:i w:val="false"/>
          <w:iCs w:val="false"/>
          <w:color w:val="222222"/>
          <w:sz w:val="21"/>
          <w:szCs w:val="21"/>
        </w:rPr>
        <w:t xml:space="preserve">Growth-inflation dynamics and monetary policy (economic activity, e.g. PMIs, export growth, industrial production; CPI trends; monetary policy cycle)</w:t>
      </w:r>
    </w:p>
    <w:p>
      <w:pPr>
        <w:pStyle w:val="ListParagraph"/>
        <w:numPr>
          <w:ilvl w:val="0"/>
          <w:numId w:val="2"/>
        </w:numPr>
        <w:spacing w:after="100" w:line="276"/>
      </w:pPr>
      <w:r>
        <w:rPr>
          <w:rFonts w:ascii="Calibri" w:cs="Calibri" w:eastAsia="Calibri" w:hAnsi="Calibri"/>
          <w:b w:val="false"/>
          <w:bCs w:val="false"/>
          <w:i w:val="false"/>
          <w:iCs w:val="false"/>
          <w:color w:val="222222"/>
          <w:sz w:val="21"/>
          <w:szCs w:val="21"/>
        </w:rPr>
        <w:t xml:space="preserve">Interest rate carry (nominal and real interest rates)</w:t>
      </w:r>
    </w:p>
    <w:p>
      <w:pPr>
        <w:pStyle w:val="ListParagraph"/>
        <w:numPr>
          <w:ilvl w:val="0"/>
          <w:numId w:val="2"/>
        </w:numPr>
        <w:spacing w:after="100" w:line="276"/>
      </w:pPr>
      <w:r>
        <w:rPr>
          <w:rFonts w:ascii="Calibri" w:cs="Calibri" w:eastAsia="Calibri" w:hAnsi="Calibri"/>
          <w:b w:val="false"/>
          <w:bCs w:val="false"/>
          <w:i w:val="false"/>
          <w:iCs w:val="false"/>
          <w:color w:val="222222"/>
          <w:sz w:val="21"/>
          <w:szCs w:val="21"/>
        </w:rPr>
        <w:t xml:space="preserve">External balance (current account balance and capital flows)</w:t>
      </w:r>
    </w:p>
    <w:p>
      <w:pPr>
        <w:pStyle w:val="ListParagraph"/>
        <w:numPr>
          <w:ilvl w:val="0"/>
          <w:numId w:val="2"/>
        </w:numPr>
        <w:spacing w:after="100" w:line="276"/>
      </w:pPr>
      <w:r>
        <w:rPr>
          <w:rFonts w:ascii="Calibri" w:cs="Calibri" w:eastAsia="Calibri" w:hAnsi="Calibri"/>
          <w:b w:val="false"/>
          <w:bCs w:val="false"/>
          <w:i w:val="false"/>
          <w:iCs w:val="false"/>
          <w:color w:val="222222"/>
          <w:sz w:val="21"/>
          <w:szCs w:val="21"/>
        </w:rPr>
        <w:t xml:space="preserve">Valuation and technical factors (REER, positioning, momentum)</w:t>
      </w:r>
    </w:p>
    <w:p>
      <w:pPr>
        <w:pStyle w:val="ListParagraph"/>
        <w:numPr>
          <w:ilvl w:val="0"/>
          <w:numId w:val="2"/>
        </w:numPr>
        <w:spacing w:after="100" w:line="276"/>
      </w:pPr>
      <w:r>
        <w:rPr>
          <w:rFonts w:ascii="Calibri" w:cs="Calibri" w:eastAsia="Calibri" w:hAnsi="Calibri"/>
          <w:b w:val="false"/>
          <w:bCs w:val="false"/>
          <w:i w:val="false"/>
          <w:iCs w:val="false"/>
          <w:color w:val="222222"/>
          <w:sz w:val="21"/>
          <w:szCs w:val="21"/>
        </w:rPr>
        <w:t xml:space="preserve">Politics, geopolitics, and sanctions</w:t>
      </w:r>
    </w:p>
    <w:p>
      <w:pPr>
        <w:pStyle w:val="ListParagraph"/>
        <w:numPr>
          <w:ilvl w:val="0"/>
          <w:numId w:val="2"/>
        </w:numPr>
        <w:spacing w:after="100" w:line="276"/>
      </w:pPr>
      <w:r>
        <w:rPr>
          <w:rFonts w:ascii="Calibri" w:cs="Calibri" w:eastAsia="Calibri" w:hAnsi="Calibri"/>
          <w:b w:val="false"/>
          <w:bCs w:val="false"/>
          <w:i w:val="false"/>
          <w:iCs w:val="false"/>
          <w:color w:val="222222"/>
          <w:sz w:val="21"/>
          <w:szCs w:val="21"/>
        </w:rPr>
        <w:t xml:space="preserve">Global conditions (market sentiment, growth prospects, monetary policy)</w:t>
      </w:r>
    </w:p>
    <w:p>
      <w:pPr>
        <w:pStyle w:val="Heading2"/>
        <w:spacing w:after="140" w:before="320"/>
      </w:pPr>
      <w:r>
        <w:rPr>
          <w:rFonts w:ascii="Calibri" w:cs="Calibri" w:eastAsia="Calibri" w:hAnsi="Calibri"/>
          <w:b/>
          <w:bCs/>
          <w:color w:val="44607D"/>
          <w:sz w:val="24"/>
          <w:szCs w:val="24"/>
        </w:rPr>
        <w:t xml:space="preserve">3.3  </w:t>
      </w:r>
      <w:r>
        <w:rPr>
          <w:rFonts w:ascii="Calibri" w:cs="Calibri" w:eastAsia="Calibri" w:hAnsi="Calibri"/>
          <w:b/>
          <w:bCs/>
          <w:color w:val="1F3A5C"/>
          <w:sz w:val="24"/>
          <w:szCs w:val="24"/>
        </w:rPr>
        <w:t xml:space="preserve">Forecast and Reports</w:t>
      </w:r>
    </w:p>
    <w:p>
      <w:pPr>
        <w:spacing w:after="160" w:line="288"/>
        <w:jc w:val="left"/>
      </w:pPr>
      <w:r>
        <w:rPr>
          <w:rFonts w:ascii="Calibri" w:cs="Calibri" w:eastAsia="Calibri" w:hAnsi="Calibri"/>
          <w:color w:val="222222"/>
          <w:sz w:val="21"/>
          <w:szCs w:val="21"/>
        </w:rPr>
        <w:t xml:space="preserve">CIO EM currently covers the following currency pairs: USDBRL, USDMXN, USDILS, USDZAR, EURCZK, EURPLN.</w:t>
      </w:r>
    </w:p>
    <w:p>
      <w:pPr>
        <w:spacing w:after="160" w:line="288"/>
        <w:jc w:val="left"/>
      </w:pPr>
      <w:r>
        <w:rPr>
          <w:rFonts w:ascii="Calibri" w:cs="Calibri" w:eastAsia="Calibri" w:hAnsi="Calibri"/>
          <w:color w:val="222222"/>
          <w:sz w:val="21"/>
          <w:szCs w:val="21"/>
        </w:rPr>
        <w:t xml:space="preserve">The analyst covering a given EM currency pair writes the FX report and submits it through the regular publication process; a knowledgeable team member performs the four-eyes check in line with the EIC process. FX reports are updated regularly, usually on a monthly basis, and each contains point forecasts for the four end-of-quarter points defined by the global forecasting process.</w:t>
      </w:r>
    </w:p>
    <w:p>
      <w:pPr>
        <w:spacing w:after="160" w:line="288"/>
        <w:jc w:val="left"/>
      </w:pPr>
      <w:r>
        <w:rPr>
          <w:rFonts w:ascii="Calibri" w:cs="Calibri" w:eastAsia="Calibri" w:hAnsi="Calibri"/>
          <w:color w:val="222222"/>
          <w:sz w:val="21"/>
          <w:szCs w:val="21"/>
        </w:rPr>
        <w:t xml:space="preserve">To track macroeconomic and financial developments, each analyst maintains tools covering the business and monetary policy cycle (inflation, interest rates, money and credit supply) for the country relative to the US or Eurozone, external balance and flow data, valuation, credit metrics, and any other factors the analyst considers relevant.</w:t>
      </w:r>
    </w:p>
    <w:p>
      <w:pPr>
        <w:pStyle w:val="Heading2"/>
        <w:spacing w:after="140" w:before="320"/>
      </w:pPr>
      <w:r>
        <w:rPr>
          <w:rFonts w:ascii="Calibri" w:cs="Calibri" w:eastAsia="Calibri" w:hAnsi="Calibri"/>
          <w:b/>
          <w:bCs/>
          <w:color w:val="44607D"/>
          <w:sz w:val="24"/>
          <w:szCs w:val="24"/>
        </w:rPr>
        <w:t xml:space="preserve">3.4  </w:t>
      </w:r>
      <w:r>
        <w:rPr>
          <w:rFonts w:ascii="Calibri" w:cs="Calibri" w:eastAsia="Calibri" w:hAnsi="Calibri"/>
          <w:b/>
          <w:bCs/>
          <w:color w:val="1F3A5C"/>
          <w:sz w:val="24"/>
          <w:szCs w:val="24"/>
        </w:rPr>
        <w:t xml:space="preserve">Reverse Convertible Contributions to “The Week Ahead”</w:t>
      </w:r>
    </w:p>
    <w:p>
      <w:pPr>
        <w:spacing w:after="160" w:line="288"/>
        <w:jc w:val="left"/>
      </w:pPr>
      <w:r>
        <w:rPr>
          <w:rFonts w:ascii="Calibri" w:cs="Calibri" w:eastAsia="Calibri" w:hAnsi="Calibri"/>
          <w:color w:val="222222"/>
          <w:sz w:val="21"/>
          <w:szCs w:val="21"/>
        </w:rPr>
        <w:t xml:space="preserve">CIO EM contributes reverse convertible ideas to the weekly “Week Ahead” process. Recommendations are based on the medium-term outlook for the relevant exchange rate, alongside current valuation, market sentiment, technical factors, positioning, momentum, chart analysis, and implied volatility.</w:t>
      </w:r>
    </w:p>
    <w:p>
      <w:pPr>
        <w:pStyle w:val="Heading2"/>
        <w:spacing w:after="140" w:before="320"/>
      </w:pPr>
      <w:r>
        <w:rPr>
          <w:rFonts w:ascii="Calibri" w:cs="Calibri" w:eastAsia="Calibri" w:hAnsi="Calibri"/>
          <w:b/>
          <w:bCs/>
          <w:color w:val="44607D"/>
          <w:sz w:val="24"/>
          <w:szCs w:val="24"/>
        </w:rPr>
        <w:t xml:space="preserve">3.5  </w:t>
      </w:r>
      <w:r>
        <w:rPr>
          <w:rFonts w:ascii="Calibri" w:cs="Calibri" w:eastAsia="Calibri" w:hAnsi="Calibri"/>
          <w:b/>
          <w:bCs/>
          <w:color w:val="1F3A5C"/>
          <w:sz w:val="24"/>
          <w:szCs w:val="24"/>
        </w:rPr>
        <w:t xml:space="preserve">Asset Class View</w:t>
      </w:r>
    </w:p>
    <w:p>
      <w:pPr>
        <w:spacing w:after="160" w:line="288"/>
        <w:jc w:val="left"/>
      </w:pPr>
      <w:r>
        <w:rPr>
          <w:rFonts w:ascii="Calibri" w:cs="Calibri" w:eastAsia="Calibri" w:hAnsi="Calibri"/>
          <w:color w:val="222222"/>
          <w:sz w:val="21"/>
          <w:szCs w:val="21"/>
        </w:rPr>
        <w:t xml:space="preserve">The asset class view combines a bottom-up view with top-down indicators: the global economic environment, global and local interest rates, valuations, sentiment, technicals and momentum, and special factors.</w:t>
      </w:r>
    </w:p>
    <w:p>
      <w:pPr>
        <w:pStyle w:val="Heading2"/>
        <w:spacing w:after="140" w:before="320"/>
      </w:pPr>
      <w:r>
        <w:rPr>
          <w:rFonts w:ascii="Calibri" w:cs="Calibri" w:eastAsia="Calibri" w:hAnsi="Calibri"/>
          <w:b/>
          <w:bCs/>
          <w:color w:val="44607D"/>
          <w:sz w:val="24"/>
          <w:szCs w:val="24"/>
        </w:rPr>
        <w:t xml:space="preserve">3.6  </w:t>
      </w:r>
      <w:r>
        <w:rPr>
          <w:rFonts w:ascii="Calibri" w:cs="Calibri" w:eastAsia="Calibri" w:hAnsi="Calibri"/>
          <w:b/>
          <w:bCs/>
          <w:color w:val="1F3A5C"/>
          <w:sz w:val="24"/>
          <w:szCs w:val="24"/>
        </w:rPr>
        <w:t xml:space="preserve">EM Rates — Government Bonds in Local Currency</w:t>
      </w:r>
    </w:p>
    <w:p>
      <w:pPr>
        <w:spacing w:after="160" w:line="288"/>
        <w:jc w:val="left"/>
      </w:pPr>
      <w:r>
        <w:rPr>
          <w:rFonts w:ascii="Calibri" w:cs="Calibri" w:eastAsia="Calibri" w:hAnsi="Calibri"/>
          <w:color w:val="222222"/>
          <w:sz w:val="21"/>
          <w:szCs w:val="21"/>
        </w:rPr>
        <w:t xml:space="preserve">The EM Rates view uses the GBI-EM Global Diversified as its benchmark, with performance measured via the same annualized Information Ratio / KPI methodology described in Section 3.1. In assessing the risk-return outlook for local-currency EM government bonds, analysts consider:</w:t>
      </w:r>
    </w:p>
    <w:p>
      <w:pPr>
        <w:pStyle w:val="ListParagraph"/>
        <w:numPr>
          <w:ilvl w:val="0"/>
          <w:numId w:val="2"/>
        </w:numPr>
        <w:spacing w:after="100" w:line="276"/>
      </w:pPr>
      <w:r>
        <w:rPr>
          <w:rFonts w:ascii="Calibri" w:cs="Calibri" w:eastAsia="Calibri" w:hAnsi="Calibri"/>
          <w:b w:val="false"/>
          <w:bCs w:val="false"/>
          <w:i w:val="false"/>
          <w:iCs w:val="false"/>
          <w:color w:val="222222"/>
          <w:sz w:val="21"/>
          <w:szCs w:val="21"/>
        </w:rPr>
        <w:t xml:space="preserve">Global interest rate benchmarks (US Treasury and German Bund) forecasts, including CIO and market-implied forecasts</w:t>
      </w:r>
    </w:p>
    <w:p>
      <w:pPr>
        <w:pStyle w:val="ListParagraph"/>
        <w:numPr>
          <w:ilvl w:val="0"/>
          <w:numId w:val="2"/>
        </w:numPr>
        <w:spacing w:after="100" w:line="276"/>
      </w:pPr>
      <w:r>
        <w:rPr>
          <w:rFonts w:ascii="Calibri" w:cs="Calibri" w:eastAsia="Calibri" w:hAnsi="Calibri"/>
          <w:b w:val="false"/>
          <w:bCs w:val="false"/>
          <w:i w:val="false"/>
          <w:iCs w:val="false"/>
          <w:color w:val="222222"/>
          <w:sz w:val="21"/>
          <w:szCs w:val="21"/>
        </w:rPr>
        <w:t xml:space="preserve">Interest rate forecasts for relevant EM countries</w:t>
      </w:r>
    </w:p>
    <w:p>
      <w:pPr>
        <w:pStyle w:val="ListParagraph"/>
        <w:numPr>
          <w:ilvl w:val="0"/>
          <w:numId w:val="2"/>
        </w:numPr>
        <w:spacing w:after="100" w:line="276"/>
      </w:pPr>
      <w:r>
        <w:rPr>
          <w:rFonts w:ascii="Calibri" w:cs="Calibri" w:eastAsia="Calibri" w:hAnsi="Calibri"/>
          <w:b w:val="false"/>
          <w:bCs w:val="false"/>
          <w:i w:val="false"/>
          <w:iCs w:val="false"/>
          <w:color w:val="222222"/>
          <w:sz w:val="21"/>
          <w:szCs w:val="21"/>
        </w:rPr>
        <w:t xml:space="preserve">US Treasury yields, country CDS spreads, composite ratings, country risk indicators, and sentiment indicators</w:t>
      </w:r>
    </w:p>
    <w:p>
      <w:pPr>
        <w:pStyle w:val="ListParagraph"/>
        <w:numPr>
          <w:ilvl w:val="0"/>
          <w:numId w:val="2"/>
        </w:numPr>
        <w:spacing w:after="100" w:line="276"/>
      </w:pPr>
      <w:r>
        <w:rPr>
          <w:rFonts w:ascii="Calibri" w:cs="Calibri" w:eastAsia="Calibri" w:hAnsi="Calibri"/>
          <w:b w:val="false"/>
          <w:bCs w:val="false"/>
          <w:i w:val="false"/>
          <w:iCs w:val="false"/>
          <w:color w:val="222222"/>
          <w:sz w:val="21"/>
          <w:szCs w:val="21"/>
        </w:rPr>
        <w:t xml:space="preserve">Correlation and sensitivity analysis for individual countries and for the asset class</w:t>
      </w:r>
    </w:p>
    <w:p>
      <w:pPr>
        <w:pStyle w:val="ListParagraph"/>
        <w:numPr>
          <w:ilvl w:val="0"/>
          <w:numId w:val="2"/>
        </w:numPr>
        <w:spacing w:after="100" w:line="276"/>
      </w:pPr>
      <w:r>
        <w:rPr>
          <w:rFonts w:ascii="Calibri" w:cs="Calibri" w:eastAsia="Calibri" w:hAnsi="Calibri"/>
          <w:b w:val="false"/>
          <w:bCs w:val="false"/>
          <w:i w:val="false"/>
          <w:iCs w:val="false"/>
          <w:color w:val="222222"/>
          <w:sz w:val="21"/>
          <w:szCs w:val="21"/>
        </w:rPr>
        <w:t xml:space="preserve">Incorporation of relevant FX forecasts to quantify expected impact on return in USD terms</w:t>
      </w:r>
    </w:p>
    <w:p>
      <w:pPr>
        <w:spacing w:after="160" w:line="288"/>
        <w:jc w:val="left"/>
      </w:pPr>
      <w:r>
        <w:rPr>
          <w:rFonts w:ascii="Calibri" w:cs="Calibri" w:eastAsia="Calibri" w:hAnsi="Calibri"/>
          <w:color w:val="222222"/>
          <w:sz w:val="21"/>
          <w:szCs w:val="21"/>
        </w:rPr>
        <w:t xml:space="preserve">As with EM FX, the asset class view combines this bottom-up analysis with top-down indicators: the global economic environment, global and local interest rates, valuations, sentiment, technicals and momentum, and special factors.</w:t>
      </w:r>
    </w:p>
    <w:p>
      <w:r>
        <w:br w:type="page"/>
      </w:r>
    </w:p>
    <w:p>
      <w:pPr>
        <w:pStyle w:val="Heading1"/>
        <w:pBdr>
          <w:bottom w:val="single" w:color="B08D3F" w:sz="6" w:space="6"/>
        </w:pBdr>
        <w:spacing w:after="200" w:before="480"/>
      </w:pPr>
      <w:r>
        <w:rPr>
          <w:rFonts w:ascii="Calibri" w:cs="Calibri" w:eastAsia="Calibri" w:hAnsi="Calibri"/>
          <w:b/>
          <w:bCs/>
          <w:color w:val="B08D3F"/>
          <w:sz w:val="30"/>
          <w:szCs w:val="30"/>
        </w:rPr>
        <w:t xml:space="preserve">4.  </w:t>
      </w:r>
      <w:r>
        <w:rPr>
          <w:rFonts w:ascii="Calibri" w:cs="Calibri" w:eastAsia="Calibri" w:hAnsi="Calibri"/>
          <w:b/>
          <w:bCs/>
          <w:color w:val="16283F"/>
          <w:sz w:val="30"/>
          <w:szCs w:val="30"/>
        </w:rPr>
        <w:t xml:space="preserve">EM Credit – Definitions and Processes</w:t>
      </w:r>
    </w:p>
    <w:p>
      <w:pPr>
        <w:spacing w:after="160" w:line="288"/>
        <w:jc w:val="left"/>
      </w:pPr>
      <w:r>
        <w:rPr>
          <w:rFonts w:ascii="Calibri" w:cs="Calibri" w:eastAsia="Calibri" w:hAnsi="Calibri"/>
          <w:color w:val="222222"/>
          <w:sz w:val="21"/>
          <w:szCs w:val="21"/>
        </w:rPr>
        <w:t xml:space="preserve">This section summarizes the research principles, methodology and standards that apply to all analysts of CIO EM Credit, and the policies and procedures that apply to all Staff Members (full-time or part-time employees, interns on UBS payroll, and non-employees such as consultants, contractors, or temporary workers). For the full documentation of research methodology and process, refer to the EM Credit Research Manual; for details on how the Emerging Markets Bond List is produced weekly, refer to its dedicated process manual.</w:t>
      </w:r>
    </w:p>
    <w:p>
      <w:pPr>
        <w:spacing w:after="160" w:line="288"/>
        <w:jc w:val="left"/>
      </w:pPr>
      <w:r>
        <w:rPr>
          <w:rFonts w:ascii="Calibri" w:cs="Calibri" w:eastAsia="Calibri" w:hAnsi="Calibri"/>
          <w:color w:val="222222"/>
          <w:sz w:val="21"/>
          <w:szCs w:val="21"/>
        </w:rPr>
        <w:t xml:space="preserve">The primary objective of Credit Research is to provide consistent, independent analysis and recommendations on issuers and bonds across regions, to internal clients (portfolio managers, client advisors, financial advisors and others) and to external clients of UBS.</w:t>
      </w:r>
    </w:p>
    <w:p>
      <w:pPr>
        <w:spacing w:after="160" w:line="288"/>
        <w:jc w:val="left"/>
      </w:pPr>
      <w:r>
        <w:rPr>
          <w:rFonts w:ascii="Calibri" w:cs="Calibri" w:eastAsia="Calibri" w:hAnsi="Calibri"/>
          <w:color w:val="222222"/>
          <w:sz w:val="21"/>
          <w:szCs w:val="21"/>
        </w:rPr>
        <w:t xml:space="preserve">CIO Credit maintains a defined universe of bond issuers, reviewed regularly to meet the needs of internal and external clients across major global markets. Each issuer in the CIO Credit Issuer Universe is assigned to a specific credit analyst, whose credit quality is monitored and assessed on an ongoing basis.</w:t>
      </w:r>
    </w:p>
    <w:p>
      <w:pPr>
        <w:pStyle w:val="Heading2"/>
        <w:spacing w:after="140" w:before="320"/>
      </w:pPr>
      <w:r>
        <w:rPr>
          <w:rFonts w:ascii="Calibri" w:cs="Calibri" w:eastAsia="Calibri" w:hAnsi="Calibri"/>
          <w:b/>
          <w:bCs/>
          <w:color w:val="44607D"/>
          <w:sz w:val="24"/>
          <w:szCs w:val="24"/>
        </w:rPr>
        <w:t xml:space="preserve">4.1  </w:t>
      </w:r>
      <w:r>
        <w:rPr>
          <w:rFonts w:ascii="Calibri" w:cs="Calibri" w:eastAsia="Calibri" w:hAnsi="Calibri"/>
          <w:b/>
          <w:bCs/>
          <w:color w:val="1F3A5C"/>
          <w:sz w:val="24"/>
          <w:szCs w:val="24"/>
        </w:rPr>
        <w:t xml:space="preserve">Credit Risk Flags</w:t>
      </w:r>
    </w:p>
    <w:p>
      <w:pPr>
        <w:spacing w:after="160" w:line="288"/>
        <w:jc w:val="left"/>
      </w:pPr>
      <w:r>
        <w:rPr>
          <w:rFonts w:ascii="Calibri" w:cs="Calibri" w:eastAsia="Calibri" w:hAnsi="Calibri"/>
          <w:color w:val="222222"/>
          <w:sz w:val="21"/>
          <w:szCs w:val="21"/>
        </w:rPr>
        <w:t xml:space="preserve">CIO attaches a credit risk flag to each covered instrument, reflecting an independent assessment of the likelihood that a holder will not receive a coupon or principal payment when due:</w:t>
      </w:r>
    </w:p>
    <w:p>
      <w:pPr>
        <w:spacing w:after="60"/>
      </w:pPr>
    </w:p>
    <w:tbl>
      <w:tblPr>
        <w:tblW w:type="pct" w:w="100%"/>
        <w:tblBorders>
          <w:top w:val="none" w:color="FFFFFF" w:sz="0"/>
          <w:left w:val="none" w:color="FFFFFF" w:sz="0"/>
          <w:bottom w:val="none" w:color="FFFFFF" w:sz="0"/>
          <w:right w:val="none" w:color="FFFFFF" w:sz="0"/>
          <w:insideH w:val="none" w:color="FFFFFF" w:sz="0"/>
          <w:insideV w:val="single" w:color="FFFFFF" w:sz="6"/>
        </w:tblBorders>
      </w:tblPr>
      <w:tblGrid>
        <w:gridCol w:w="3116"/>
        <w:gridCol w:w="3116"/>
        <w:gridCol w:w="3118"/>
      </w:tblGrid>
      <w:tr>
        <w:tc>
          <w:tcPr>
            <w:tcW w:type="dxa" w:w="3116"/>
            <w:shd w:fill="2E6B3E" w:val="clear"/>
            <w:tcMar>
              <w:top w:type="dxa" w:w="140"/>
              <w:left w:type="dxa" w:w="140"/>
              <w:bottom w:type="dxa" w:w="140"/>
              <w:right w:type="dxa" w:w="140"/>
            </w:tcMar>
            <w:vAlign w:val="center"/>
          </w:tcPr>
          <w:p>
            <w:pPr>
              <w:spacing w:after="40"/>
              <w:jc w:val="center"/>
            </w:pPr>
            <w:r>
              <w:rPr>
                <w:rFonts w:ascii="Calibri" w:cs="Calibri" w:eastAsia="Calibri" w:hAnsi="Calibri"/>
                <w:b/>
                <w:bCs/>
                <w:color w:val="FFFFFF"/>
                <w:sz w:val="20"/>
                <w:szCs w:val="20"/>
              </w:rPr>
              <w:t xml:space="preserve">GREEN</w:t>
            </w:r>
          </w:p>
          <w:p>
            <w:pPr>
              <w:spacing w:after="0"/>
              <w:jc w:val="center"/>
            </w:pPr>
            <w:r>
              <w:rPr>
                <w:rFonts w:ascii="Calibri" w:cs="Calibri" w:eastAsia="Calibri" w:hAnsi="Calibri"/>
                <w:color w:val="FFFFFF"/>
                <w:sz w:val="16"/>
                <w:szCs w:val="16"/>
              </w:rPr>
              <w:t xml:space="preserve">Very low credit risk — cumulative probability of non-payment below 2%</w:t>
            </w:r>
          </w:p>
        </w:tc>
        <w:tc>
          <w:tcPr>
            <w:tcW w:type="dxa" w:w="3116"/>
            <w:shd w:fill="8A6D1B" w:val="clear"/>
            <w:tcMar>
              <w:top w:type="dxa" w:w="140"/>
              <w:left w:type="dxa" w:w="140"/>
              <w:bottom w:type="dxa" w:w="140"/>
              <w:right w:type="dxa" w:w="140"/>
            </w:tcMar>
            <w:vAlign w:val="center"/>
          </w:tcPr>
          <w:p>
            <w:pPr>
              <w:spacing w:after="40"/>
              <w:jc w:val="center"/>
            </w:pPr>
            <w:r>
              <w:rPr>
                <w:rFonts w:ascii="Calibri" w:cs="Calibri" w:eastAsia="Calibri" w:hAnsi="Calibri"/>
                <w:b/>
                <w:bCs/>
                <w:color w:val="FFFFFF"/>
                <w:sz w:val="20"/>
                <w:szCs w:val="20"/>
              </w:rPr>
              <w:t xml:space="preserve">YELLOW</w:t>
            </w:r>
          </w:p>
          <w:p>
            <w:pPr>
              <w:spacing w:after="0"/>
              <w:jc w:val="center"/>
            </w:pPr>
            <w:r>
              <w:rPr>
                <w:rFonts w:ascii="Calibri" w:cs="Calibri" w:eastAsia="Calibri" w:hAnsi="Calibri"/>
                <w:color w:val="FFFFFF"/>
                <w:sz w:val="16"/>
                <w:szCs w:val="16"/>
              </w:rPr>
              <w:t xml:space="preserve">Low-to-medium credit risk — cumulative probability of non-payment between 2% and 20%</w:t>
            </w:r>
          </w:p>
        </w:tc>
        <w:tc>
          <w:tcPr>
            <w:tcW w:type="dxa" w:w="3118"/>
            <w:shd w:fill="8C2F26" w:val="clear"/>
            <w:tcMar>
              <w:top w:type="dxa" w:w="140"/>
              <w:left w:type="dxa" w:w="140"/>
              <w:bottom w:type="dxa" w:w="140"/>
              <w:right w:type="dxa" w:w="140"/>
            </w:tcMar>
            <w:vAlign w:val="center"/>
          </w:tcPr>
          <w:p>
            <w:pPr>
              <w:spacing w:after="40"/>
              <w:jc w:val="center"/>
            </w:pPr>
            <w:r>
              <w:rPr>
                <w:rFonts w:ascii="Calibri" w:cs="Calibri" w:eastAsia="Calibri" w:hAnsi="Calibri"/>
                <w:b/>
                <w:bCs/>
                <w:color w:val="FFFFFF"/>
                <w:sz w:val="20"/>
                <w:szCs w:val="20"/>
              </w:rPr>
              <w:t xml:space="preserve">RED</w:t>
            </w:r>
          </w:p>
          <w:p>
            <w:pPr>
              <w:spacing w:after="0"/>
              <w:jc w:val="center"/>
            </w:pPr>
            <w:r>
              <w:rPr>
                <w:rFonts w:ascii="Calibri" w:cs="Calibri" w:eastAsia="Calibri" w:hAnsi="Calibri"/>
                <w:color w:val="FFFFFF"/>
                <w:sz w:val="16"/>
                <w:szCs w:val="16"/>
              </w:rPr>
              <w:t xml:space="preserve">High credit risk — cumulative probability of non-payment of at least one-in-five</w:t>
            </w:r>
          </w:p>
        </w:tc>
      </w:tr>
    </w:tbl>
    <w:p>
      <w:pPr>
        <w:spacing w:after="200"/>
      </w:pPr>
    </w:p>
    <w:p>
      <w:pPr>
        <w:pStyle w:val="Heading2"/>
        <w:spacing w:after="140" w:before="320"/>
      </w:pPr>
      <w:r>
        <w:rPr>
          <w:rFonts w:ascii="Calibri" w:cs="Calibri" w:eastAsia="Calibri" w:hAnsi="Calibri"/>
          <w:b/>
          <w:bCs/>
          <w:color w:val="44607D"/>
          <w:sz w:val="24"/>
          <w:szCs w:val="24"/>
        </w:rPr>
        <w:t xml:space="preserve">4.2  </w:t>
      </w:r>
      <w:r>
        <w:rPr>
          <w:rFonts w:ascii="Calibri" w:cs="Calibri" w:eastAsia="Calibri" w:hAnsi="Calibri"/>
          <w:b/>
          <w:bCs/>
          <w:color w:val="1F3A5C"/>
          <w:sz w:val="24"/>
          <w:szCs w:val="24"/>
        </w:rPr>
        <w:t xml:space="preserve">Issuer Credit Outlook</w:t>
      </w:r>
    </w:p>
    <w:p>
      <w:pPr>
        <w:spacing w:after="160" w:line="288"/>
        <w:jc w:val="left"/>
      </w:pPr>
      <w:r>
        <w:rPr>
          <w:rFonts w:ascii="Calibri" w:cs="Calibri" w:eastAsia="Calibri" w:hAnsi="Calibri"/>
          <w:color w:val="222222"/>
          <w:sz w:val="21"/>
          <w:szCs w:val="21"/>
        </w:rPr>
        <w:t xml:space="preserve">The instrument-specific credit risk flags are complemented by an outlook for the issuer's credit quality over the next 12 months:</w:t>
      </w:r>
    </w:p>
    <w:p>
      <w:pPr>
        <w:spacing w:after="60"/>
      </w:pPr>
    </w:p>
    <w:tbl>
      <w:tblPr>
        <w:tblW w:type="pct" w:w="100%"/>
        <w:tblBorders>
          <w:top w:val="none" w:color="FFFFFF" w:sz="0"/>
          <w:left w:val="none" w:color="FFFFFF" w:sz="0"/>
          <w:bottom w:val="none" w:color="FFFFFF" w:sz="0"/>
          <w:right w:val="none" w:color="FFFFFF" w:sz="0"/>
          <w:insideH w:val="none" w:color="FFFFFF" w:sz="0"/>
          <w:insideV w:val="single" w:color="FFFFFF" w:sz="6"/>
        </w:tblBorders>
      </w:tblPr>
      <w:tblGrid>
        <w:gridCol w:w="3116"/>
        <w:gridCol w:w="3116"/>
        <w:gridCol w:w="3118"/>
      </w:tblGrid>
      <w:tr>
        <w:tc>
          <w:tcPr>
            <w:tcW w:type="dxa" w:w="3116"/>
            <w:shd w:fill="2E6B3E" w:val="clear"/>
            <w:tcMar>
              <w:top w:type="dxa" w:w="140"/>
              <w:left w:type="dxa" w:w="140"/>
              <w:bottom w:type="dxa" w:w="140"/>
              <w:right w:type="dxa" w:w="140"/>
            </w:tcMar>
            <w:vAlign w:val="center"/>
          </w:tcPr>
          <w:p>
            <w:pPr>
              <w:spacing w:after="40"/>
              <w:jc w:val="center"/>
            </w:pPr>
            <w:r>
              <w:rPr>
                <w:rFonts w:ascii="Calibri" w:cs="Calibri" w:eastAsia="Calibri" w:hAnsi="Calibri"/>
                <w:b/>
                <w:bCs/>
                <w:color w:val="FFFFFF"/>
                <w:sz w:val="20"/>
                <w:szCs w:val="20"/>
              </w:rPr>
              <w:t xml:space="preserve">IMPROVING</w:t>
            </w:r>
          </w:p>
          <w:p>
            <w:pPr>
              <w:spacing w:after="0"/>
              <w:jc w:val="center"/>
            </w:pPr>
            <w:r>
              <w:rPr>
                <w:rFonts w:ascii="Calibri" w:cs="Calibri" w:eastAsia="Calibri" w:hAnsi="Calibri"/>
                <w:color w:val="FFFFFF"/>
                <w:sz w:val="16"/>
                <w:szCs w:val="16"/>
              </w:rPr>
              <w:t xml:space="preserve">Credit profile expected to improve, potentially justifying rating agency upgrades</w:t>
            </w:r>
          </w:p>
        </w:tc>
        <w:tc>
          <w:tcPr>
            <w:tcW w:type="dxa" w:w="3116"/>
            <w:shd w:fill="5B5B5B" w:val="clear"/>
            <w:tcMar>
              <w:top w:type="dxa" w:w="140"/>
              <w:left w:type="dxa" w:w="140"/>
              <w:bottom w:type="dxa" w:w="140"/>
              <w:right w:type="dxa" w:w="140"/>
            </w:tcMar>
            <w:vAlign w:val="center"/>
          </w:tcPr>
          <w:p>
            <w:pPr>
              <w:spacing w:after="40"/>
              <w:jc w:val="center"/>
            </w:pPr>
            <w:r>
              <w:rPr>
                <w:rFonts w:ascii="Calibri" w:cs="Calibri" w:eastAsia="Calibri" w:hAnsi="Calibri"/>
                <w:b/>
                <w:bCs/>
                <w:color w:val="FFFFFF"/>
                <w:sz w:val="20"/>
                <w:szCs w:val="20"/>
              </w:rPr>
              <w:t xml:space="preserve">STABLE</w:t>
            </w:r>
          </w:p>
          <w:p>
            <w:pPr>
              <w:spacing w:after="0"/>
              <w:jc w:val="center"/>
            </w:pPr>
            <w:r>
              <w:rPr>
                <w:rFonts w:ascii="Calibri" w:cs="Calibri" w:eastAsia="Calibri" w:hAnsi="Calibri"/>
                <w:color w:val="FFFFFF"/>
                <w:sz w:val="16"/>
                <w:szCs w:val="16"/>
              </w:rPr>
              <w:t xml:space="preserve">No meaningful change expected in the credit profile</w:t>
            </w:r>
          </w:p>
        </w:tc>
        <w:tc>
          <w:tcPr>
            <w:tcW w:type="dxa" w:w="3118"/>
            <w:shd w:fill="8C2F26" w:val="clear"/>
            <w:tcMar>
              <w:top w:type="dxa" w:w="140"/>
              <w:left w:type="dxa" w:w="140"/>
              <w:bottom w:type="dxa" w:w="140"/>
              <w:right w:type="dxa" w:w="140"/>
            </w:tcMar>
            <w:vAlign w:val="center"/>
          </w:tcPr>
          <w:p>
            <w:pPr>
              <w:spacing w:after="40"/>
              <w:jc w:val="center"/>
            </w:pPr>
            <w:r>
              <w:rPr>
                <w:rFonts w:ascii="Calibri" w:cs="Calibri" w:eastAsia="Calibri" w:hAnsi="Calibri"/>
                <w:b/>
                <w:bCs/>
                <w:color w:val="FFFFFF"/>
                <w:sz w:val="20"/>
                <w:szCs w:val="20"/>
              </w:rPr>
              <w:t xml:space="preserve">DETERIORATING</w:t>
            </w:r>
          </w:p>
          <w:p>
            <w:pPr>
              <w:spacing w:after="0"/>
              <w:jc w:val="center"/>
            </w:pPr>
            <w:r>
              <w:rPr>
                <w:rFonts w:ascii="Calibri" w:cs="Calibri" w:eastAsia="Calibri" w:hAnsi="Calibri"/>
                <w:color w:val="FFFFFF"/>
                <w:sz w:val="16"/>
                <w:szCs w:val="16"/>
              </w:rPr>
              <w:t xml:space="preserve">Credit profile expected to weaken, potentially resulting in rating agency downgrades</w:t>
            </w:r>
          </w:p>
        </w:tc>
      </w:tr>
    </w:tbl>
    <w:p>
      <w:pPr>
        <w:spacing w:after="160"/>
      </w:pPr>
    </w:p>
    <w:p>
      <w:pPr>
        <w:spacing w:after="160" w:line="288"/>
        <w:jc w:val="left"/>
      </w:pPr>
      <w:r>
        <w:rPr>
          <w:rFonts w:ascii="Calibri" w:cs="Calibri" w:eastAsia="Calibri" w:hAnsi="Calibri"/>
          <w:color w:val="222222"/>
          <w:sz w:val="21"/>
          <w:szCs w:val="21"/>
        </w:rPr>
        <w:t xml:space="preserve">The issuer credit outlook — like the credit risk flag and credit rating, where applicable — reflects a view on credit fundamentals only, not the relative or absolute attractiveness of a security. Depending on instrument pricing, any combination of credit outlook and relative valuation recommendation is possible.</w:t>
      </w:r>
    </w:p>
    <w:p>
      <w:pPr>
        <w:pStyle w:val="Heading2"/>
        <w:spacing w:after="140" w:before="320"/>
      </w:pPr>
      <w:r>
        <w:rPr>
          <w:rFonts w:ascii="Calibri" w:cs="Calibri" w:eastAsia="Calibri" w:hAnsi="Calibri"/>
          <w:b/>
          <w:bCs/>
          <w:color w:val="44607D"/>
          <w:sz w:val="24"/>
          <w:szCs w:val="24"/>
        </w:rPr>
        <w:t xml:space="preserve">4.3  </w:t>
      </w:r>
      <w:r>
        <w:rPr>
          <w:rFonts w:ascii="Calibri" w:cs="Calibri" w:eastAsia="Calibri" w:hAnsi="Calibri"/>
          <w:b/>
          <w:bCs/>
          <w:color w:val="1F3A5C"/>
          <w:sz w:val="24"/>
          <w:szCs w:val="24"/>
        </w:rPr>
        <w:t xml:space="preserve">Relative Value Bond Recommendations</w:t>
      </w:r>
    </w:p>
    <w:p>
      <w:pPr>
        <w:spacing w:after="160" w:line="288"/>
        <w:jc w:val="left"/>
      </w:pPr>
      <w:r>
        <w:rPr>
          <w:rFonts w:ascii="Calibri" w:cs="Calibri" w:eastAsia="Calibri" w:hAnsi="Calibri"/>
          <w:color w:val="222222"/>
          <w:sz w:val="21"/>
          <w:szCs w:val="21"/>
        </w:rPr>
        <w:t xml:space="preserve">Relative value bond recommendations reflect an average investment horizon of six to twelve months, assessing a bond's appeal against similar instruments under CIO coverage — typically instruments of similar credit quality, denominated in the same currency, and within the same bond market segment. Views on a specific instrument can evolve, and an opinion on one instrument does not necessarily extend to others from the same issuer. Valuation assessments may be withdrawn if an instrument loses sufficient secondary-market liquidity, or if there is no longer a sizable group of comparable covered instruments.</w:t>
      </w:r>
    </w:p>
    <w:p>
      <w:pPr>
        <w:spacing w:after="60"/>
      </w:pPr>
    </w:p>
    <w:tbl>
      <w:tblPr>
        <w:tblW w:type="pct" w:w="100%"/>
        <w:tblBorders>
          <w:top w:val="none" w:color="FFFFFF" w:sz="0"/>
          <w:left w:val="none" w:color="FFFFFF" w:sz="0"/>
          <w:bottom w:val="none" w:color="FFFFFF" w:sz="0"/>
          <w:right w:val="none" w:color="FFFFFF" w:sz="0"/>
          <w:insideH w:val="none" w:color="FFFFFF" w:sz="0"/>
          <w:insideV w:val="single" w:color="FFFFFF" w:sz="6"/>
        </w:tblBorders>
      </w:tblPr>
      <w:tblGrid>
        <w:gridCol w:w="3116"/>
        <w:gridCol w:w="3116"/>
        <w:gridCol w:w="3118"/>
      </w:tblGrid>
      <w:tr>
        <w:tc>
          <w:tcPr>
            <w:tcW w:type="dxa" w:w="3116"/>
            <w:shd w:fill="2E6B3E" w:val="clear"/>
            <w:tcMar>
              <w:top w:type="dxa" w:w="140"/>
              <w:left w:type="dxa" w:w="140"/>
              <w:bottom w:type="dxa" w:w="140"/>
              <w:right w:type="dxa" w:w="140"/>
            </w:tcMar>
            <w:vAlign w:val="center"/>
          </w:tcPr>
          <w:p>
            <w:pPr>
              <w:spacing w:after="40"/>
              <w:jc w:val="center"/>
            </w:pPr>
            <w:r>
              <w:rPr>
                <w:rFonts w:ascii="Calibri" w:cs="Calibri" w:eastAsia="Calibri" w:hAnsi="Calibri"/>
                <w:b/>
                <w:bCs/>
                <w:color w:val="FFFFFF"/>
                <w:sz w:val="20"/>
                <w:szCs w:val="20"/>
              </w:rPr>
              <w:t xml:space="preserve">ATTRACTIVE</w:t>
            </w:r>
          </w:p>
          <w:p>
            <w:pPr>
              <w:spacing w:after="0"/>
              <w:jc w:val="center"/>
            </w:pPr>
            <w:r>
              <w:rPr>
                <w:rFonts w:ascii="Calibri" w:cs="Calibri" w:eastAsia="Calibri" w:hAnsi="Calibri"/>
                <w:color w:val="FFFFFF"/>
                <w:sz w:val="16"/>
                <w:szCs w:val="16"/>
              </w:rPr>
              <w:t xml:space="preserve">Expected total return exceeds a broad benchmark of comparable-risk instruments in the same currency</w:t>
            </w:r>
          </w:p>
        </w:tc>
        <w:tc>
          <w:tcPr>
            <w:tcW w:type="dxa" w:w="3116"/>
            <w:shd w:fill="5B5B5B" w:val="clear"/>
            <w:tcMar>
              <w:top w:type="dxa" w:w="140"/>
              <w:left w:type="dxa" w:w="140"/>
              <w:bottom w:type="dxa" w:w="140"/>
              <w:right w:type="dxa" w:w="140"/>
            </w:tcMar>
            <w:vAlign w:val="center"/>
          </w:tcPr>
          <w:p>
            <w:pPr>
              <w:spacing w:after="40"/>
              <w:jc w:val="center"/>
            </w:pPr>
            <w:r>
              <w:rPr>
                <w:rFonts w:ascii="Calibri" w:cs="Calibri" w:eastAsia="Calibri" w:hAnsi="Calibri"/>
                <w:b/>
                <w:bCs/>
                <w:color w:val="FFFFFF"/>
                <w:sz w:val="20"/>
                <w:szCs w:val="20"/>
              </w:rPr>
              <w:t xml:space="preserve">FAIR</w:t>
            </w:r>
          </w:p>
          <w:p>
            <w:pPr>
              <w:spacing w:after="0"/>
              <w:jc w:val="center"/>
            </w:pPr>
            <w:r>
              <w:rPr>
                <w:rFonts w:ascii="Calibri" w:cs="Calibri" w:eastAsia="Calibri" w:hAnsi="Calibri"/>
                <w:color w:val="FFFFFF"/>
                <w:sz w:val="16"/>
                <w:szCs w:val="16"/>
              </w:rPr>
              <w:t xml:space="preserve">Expected total return in line with a broad benchmark of comparable-risk instruments in the same currency</w:t>
            </w:r>
          </w:p>
        </w:tc>
        <w:tc>
          <w:tcPr>
            <w:tcW w:type="dxa" w:w="3118"/>
            <w:shd w:fill="8C2F26" w:val="clear"/>
            <w:tcMar>
              <w:top w:type="dxa" w:w="140"/>
              <w:left w:type="dxa" w:w="140"/>
              <w:bottom w:type="dxa" w:w="140"/>
              <w:right w:type="dxa" w:w="140"/>
            </w:tcMar>
            <w:vAlign w:val="center"/>
          </w:tcPr>
          <w:p>
            <w:pPr>
              <w:spacing w:after="40"/>
              <w:jc w:val="center"/>
            </w:pPr>
            <w:r>
              <w:rPr>
                <w:rFonts w:ascii="Calibri" w:cs="Calibri" w:eastAsia="Calibri" w:hAnsi="Calibri"/>
                <w:b/>
                <w:bCs/>
                <w:color w:val="FFFFFF"/>
                <w:sz w:val="20"/>
                <w:szCs w:val="20"/>
              </w:rPr>
              <w:t xml:space="preserve">EXPENSIVE</w:t>
            </w:r>
          </w:p>
          <w:p>
            <w:pPr>
              <w:spacing w:after="0"/>
              <w:jc w:val="center"/>
            </w:pPr>
            <w:r>
              <w:rPr>
                <w:rFonts w:ascii="Calibri" w:cs="Calibri" w:eastAsia="Calibri" w:hAnsi="Calibri"/>
                <w:color w:val="FFFFFF"/>
                <w:sz w:val="16"/>
                <w:szCs w:val="16"/>
              </w:rPr>
              <w:t xml:space="preserve">Expected total return lags a broad benchmark of comparable-risk instruments in the same currency</w:t>
            </w:r>
          </w:p>
        </w:tc>
      </w:tr>
    </w:tbl>
    <w:p>
      <w:pPr>
        <w:spacing w:after="160"/>
      </w:pPr>
    </w:p>
    <w:p>
      <w:pPr>
        <w:spacing w:after="160" w:line="288"/>
        <w:jc w:val="left"/>
      </w:pPr>
      <w:r>
        <w:rPr>
          <w:rFonts w:ascii="Calibri" w:cs="Calibri" w:eastAsia="Calibri" w:hAnsi="Calibri"/>
          <w:color w:val="222222"/>
          <w:sz w:val="21"/>
          <w:szCs w:val="21"/>
        </w:rPr>
        <w:t xml:space="preserve">An Attractive or Expensive call can stem from a credit-profile view not fully reflected in price, unduly wide or tight risk premiums, the probability of a call or deferred interest payment, or external factors such as regulatory intervention.</w:t>
      </w:r>
    </w:p>
    <w:p>
      <w:pPr>
        <w:pStyle w:val="Heading2"/>
        <w:spacing w:after="140" w:before="320"/>
      </w:pPr>
      <w:r>
        <w:rPr>
          <w:rFonts w:ascii="Calibri" w:cs="Calibri" w:eastAsia="Calibri" w:hAnsi="Calibri"/>
          <w:b/>
          <w:bCs/>
          <w:color w:val="44607D"/>
          <w:sz w:val="24"/>
          <w:szCs w:val="24"/>
        </w:rPr>
        <w:t xml:space="preserve">4.4  </w:t>
      </w:r>
      <w:r>
        <w:rPr>
          <w:rFonts w:ascii="Calibri" w:cs="Calibri" w:eastAsia="Calibri" w:hAnsi="Calibri"/>
          <w:b/>
          <w:bCs/>
          <w:color w:val="1F3A5C"/>
          <w:sz w:val="24"/>
          <w:szCs w:val="24"/>
        </w:rPr>
        <w:t xml:space="preserve">Sell Recommendations</w:t>
      </w:r>
    </w:p>
    <w:p>
      <w:pPr>
        <w:spacing w:after="160" w:line="288"/>
        <w:jc w:val="left"/>
      </w:pPr>
      <w:r>
        <w:rPr>
          <w:rFonts w:ascii="Calibri" w:cs="Calibri" w:eastAsia="Calibri" w:hAnsi="Calibri"/>
          <w:color w:val="222222"/>
          <w:sz w:val="21"/>
          <w:szCs w:val="21"/>
        </w:rPr>
        <w:t xml:space="preserve">While relative value preferences aim to produce positive excess return over comparable instruments, avoiding positions that default or incur large total-return losses is the primary concern for a bond portfolio. A Sell recommendation is issued when the risk of a major adverse outcome exceeds what is reflected in current valuation — for example, where an instrument appears likely to post significant negative total returns to redemption due to a highly negative yield to maturity, or an imminent call priced below current market valuations. Depending on the situation, a Sell recommendation may apply to all bonds of an issuer, or be scoped to individual bonds, a specific ranking in the capital structure, or a specific remaining term to maturity.</w:t>
      </w:r>
    </w:p>
    <w:p>
      <w:pPr>
        <w:pStyle w:val="Heading2"/>
        <w:spacing w:after="140" w:before="320"/>
      </w:pPr>
      <w:r>
        <w:rPr>
          <w:rFonts w:ascii="Calibri" w:cs="Calibri" w:eastAsia="Calibri" w:hAnsi="Calibri"/>
          <w:b/>
          <w:bCs/>
          <w:color w:val="44607D"/>
          <w:sz w:val="24"/>
          <w:szCs w:val="24"/>
        </w:rPr>
        <w:t xml:space="preserve">4.5  </w:t>
      </w:r>
      <w:r>
        <w:rPr>
          <w:rFonts w:ascii="Calibri" w:cs="Calibri" w:eastAsia="Calibri" w:hAnsi="Calibri"/>
          <w:b/>
          <w:bCs/>
          <w:color w:val="1F3A5C"/>
          <w:sz w:val="24"/>
          <w:szCs w:val="24"/>
        </w:rPr>
        <w:t xml:space="preserve">Maintenance of the Issuer and Bond Universe</w:t>
      </w:r>
    </w:p>
    <w:p>
      <w:pPr>
        <w:spacing w:after="160" w:line="288"/>
        <w:jc w:val="left"/>
      </w:pPr>
      <w:r>
        <w:rPr>
          <w:rFonts w:ascii="Calibri" w:cs="Calibri" w:eastAsia="Calibri" w:hAnsi="Calibri"/>
          <w:color w:val="222222"/>
          <w:sz w:val="21"/>
          <w:szCs w:val="21"/>
        </w:rPr>
        <w:t xml:space="preserve">It is the ongoing responsibility of each EM credit analyst to check the completeness of information for issuers under their coverage — including monitoring for newly issued bonds and checking the liquidity of their coverage universe.</w:t>
      </w:r>
    </w:p>
    <w:p>
      <w:r>
        <w:br w:type="page"/>
      </w:r>
    </w:p>
    <w:p>
      <w:pPr>
        <w:pStyle w:val="Heading1"/>
        <w:pBdr>
          <w:bottom w:val="single" w:color="B08D3F" w:sz="6" w:space="6"/>
        </w:pBdr>
        <w:spacing w:after="200" w:before="480"/>
      </w:pPr>
      <w:r>
        <w:rPr>
          <w:rFonts w:ascii="Calibri" w:cs="Calibri" w:eastAsia="Calibri" w:hAnsi="Calibri"/>
          <w:b/>
          <w:bCs/>
          <w:color w:val="B08D3F"/>
          <w:sz w:val="30"/>
          <w:szCs w:val="30"/>
        </w:rPr>
        <w:t xml:space="preserve">5.  </w:t>
      </w:r>
      <w:r>
        <w:rPr>
          <w:rFonts w:ascii="Calibri" w:cs="Calibri" w:eastAsia="Calibri" w:hAnsi="Calibri"/>
          <w:b/>
          <w:bCs/>
          <w:color w:val="16283F"/>
          <w:sz w:val="30"/>
          <w:szCs w:val="30"/>
        </w:rPr>
        <w:t xml:space="preserve">EM Equities – Definitions and Processes</w:t>
      </w:r>
    </w:p>
    <w:p>
      <w:pPr>
        <w:spacing w:after="160" w:line="288"/>
        <w:jc w:val="left"/>
      </w:pPr>
      <w:r>
        <w:rPr>
          <w:rFonts w:ascii="Calibri" w:cs="Calibri" w:eastAsia="Calibri" w:hAnsi="Calibri"/>
          <w:color w:val="222222"/>
          <w:sz w:val="21"/>
          <w:szCs w:val="21"/>
        </w:rPr>
        <w:t xml:space="preserve">The team makes absolute return calls on select countries and investment styles (e.g. value vs. growth), typically expressed as investment themes and country preferences. The strategy universe potentially includes all countries in the MSCI Emerging Markets Index, though coverage in practice focuses on the larger, more liquid emerging equity markets.</w:t>
      </w:r>
    </w:p>
    <w:p>
      <w:pPr>
        <w:pStyle w:val="Heading2"/>
        <w:spacing w:after="140" w:before="320"/>
      </w:pPr>
      <w:r>
        <w:rPr>
          <w:rFonts w:ascii="Calibri" w:cs="Calibri" w:eastAsia="Calibri" w:hAnsi="Calibri"/>
          <w:b/>
          <w:bCs/>
          <w:color w:val="44607D"/>
          <w:sz w:val="24"/>
          <w:szCs w:val="24"/>
        </w:rPr>
        <w:t xml:space="preserve">5.1  </w:t>
      </w:r>
      <w:r>
        <w:rPr>
          <w:rFonts w:ascii="Calibri" w:cs="Calibri" w:eastAsia="Calibri" w:hAnsi="Calibri"/>
          <w:b/>
          <w:bCs/>
          <w:color w:val="1F3A5C"/>
          <w:sz w:val="24"/>
          <w:szCs w:val="24"/>
        </w:rPr>
        <w:t xml:space="preserve">Equity Ratings Scale</w:t>
      </w:r>
    </w:p>
    <w:p>
      <w:pPr>
        <w:spacing w:after="160" w:line="288"/>
        <w:jc w:val="left"/>
      </w:pPr>
      <w:r>
        <w:rPr>
          <w:rFonts w:ascii="Calibri" w:cs="Calibri" w:eastAsia="Calibri" w:hAnsi="Calibri"/>
          <w:color w:val="222222"/>
          <w:sz w:val="21"/>
          <w:szCs w:val="21"/>
        </w:rPr>
        <w:t xml:space="preserve">Equity markets are rated on a five-tier scale, based on the market's expected absolute return against cash over the next 12 months, in line with the CIO global equities rating methodology:</w:t>
      </w:r>
    </w:p>
    <w:p>
      <w:pPr>
        <w:spacing w:after="60"/>
      </w:pPr>
    </w:p>
    <w:tbl>
      <w:tblPr>
        <w:tblW w:type="pct" w:w="100%"/>
        <w:tblBorders>
          <w:top w:val="none" w:color="FFFFFF" w:sz="0"/>
          <w:left w:val="none" w:color="FFFFFF" w:sz="0"/>
          <w:bottom w:val="none" w:color="FFFFFF" w:sz="0"/>
          <w:right w:val="none" w:color="FFFFFF" w:sz="0"/>
          <w:insideH w:val="none" w:color="FFFFFF" w:sz="0"/>
          <w:insideV w:val="single" w:color="FFFFFF" w:sz="6"/>
        </w:tblBorders>
      </w:tblPr>
      <w:tblGrid>
        <w:gridCol w:w="1870"/>
        <w:gridCol w:w="1870"/>
        <w:gridCol w:w="1870"/>
        <w:gridCol w:w="1870"/>
        <w:gridCol w:w="1870"/>
      </w:tblGrid>
      <w:tr>
        <w:tc>
          <w:tcPr>
            <w:tcW w:type="dxa" w:w="1870"/>
            <w:shd w:fill="8C2F26" w:val="clear"/>
            <w:tcMar>
              <w:top w:type="dxa" w:w="140"/>
              <w:left w:type="dxa" w:w="140"/>
              <w:bottom w:type="dxa" w:w="140"/>
              <w:right w:type="dxa" w:w="140"/>
            </w:tcMar>
            <w:vAlign w:val="center"/>
          </w:tcPr>
          <w:p>
            <w:pPr>
              <w:spacing w:after="40"/>
              <w:jc w:val="center"/>
            </w:pPr>
            <w:r>
              <w:rPr>
                <w:rFonts w:ascii="Calibri" w:cs="Calibri" w:eastAsia="Calibri" w:hAnsi="Calibri"/>
                <w:b/>
                <w:bCs/>
                <w:color w:val="FFFFFF"/>
                <w:sz w:val="20"/>
                <w:szCs w:val="20"/>
              </w:rPr>
              <w:t xml:space="preserve">LEAST ATTRACTIVE</w:t>
            </w:r>
          </w:p>
        </w:tc>
        <w:tc>
          <w:tcPr>
            <w:tcW w:type="dxa" w:w="1870"/>
            <w:shd w:fill="C06A4E" w:val="clear"/>
            <w:tcMar>
              <w:top w:type="dxa" w:w="140"/>
              <w:left w:type="dxa" w:w="140"/>
              <w:bottom w:type="dxa" w:w="140"/>
              <w:right w:type="dxa" w:w="140"/>
            </w:tcMar>
            <w:vAlign w:val="center"/>
          </w:tcPr>
          <w:p>
            <w:pPr>
              <w:spacing w:after="40"/>
              <w:jc w:val="center"/>
            </w:pPr>
            <w:r>
              <w:rPr>
                <w:rFonts w:ascii="Calibri" w:cs="Calibri" w:eastAsia="Calibri" w:hAnsi="Calibri"/>
                <w:b/>
                <w:bCs/>
                <w:color w:val="FFFFFF"/>
                <w:sz w:val="20"/>
                <w:szCs w:val="20"/>
              </w:rPr>
              <w:t xml:space="preserve">UNATTRACTIVE</w:t>
            </w:r>
          </w:p>
        </w:tc>
        <w:tc>
          <w:tcPr>
            <w:tcW w:type="dxa" w:w="1870"/>
            <w:shd w:fill="9C9280" w:val="clear"/>
            <w:tcMar>
              <w:top w:type="dxa" w:w="140"/>
              <w:left w:type="dxa" w:w="140"/>
              <w:bottom w:type="dxa" w:w="140"/>
              <w:right w:type="dxa" w:w="140"/>
            </w:tcMar>
            <w:vAlign w:val="center"/>
          </w:tcPr>
          <w:p>
            <w:pPr>
              <w:spacing w:after="40"/>
              <w:jc w:val="center"/>
            </w:pPr>
            <w:r>
              <w:rPr>
                <w:rFonts w:ascii="Calibri" w:cs="Calibri" w:eastAsia="Calibri" w:hAnsi="Calibri"/>
                <w:b/>
                <w:bCs/>
                <w:color w:val="FFFFFF"/>
                <w:sz w:val="20"/>
                <w:szCs w:val="20"/>
              </w:rPr>
              <w:t xml:space="preserve">NEUTRAL</w:t>
            </w:r>
          </w:p>
        </w:tc>
        <w:tc>
          <w:tcPr>
            <w:tcW w:type="dxa" w:w="1870"/>
            <w:shd w:fill="6E9459" w:val="clear"/>
            <w:tcMar>
              <w:top w:type="dxa" w:w="140"/>
              <w:left w:type="dxa" w:w="140"/>
              <w:bottom w:type="dxa" w:w="140"/>
              <w:right w:type="dxa" w:w="140"/>
            </w:tcMar>
            <w:vAlign w:val="center"/>
          </w:tcPr>
          <w:p>
            <w:pPr>
              <w:spacing w:after="40"/>
              <w:jc w:val="center"/>
            </w:pPr>
            <w:r>
              <w:rPr>
                <w:rFonts w:ascii="Calibri" w:cs="Calibri" w:eastAsia="Calibri" w:hAnsi="Calibri"/>
                <w:b/>
                <w:bCs/>
                <w:color w:val="FFFFFF"/>
                <w:sz w:val="20"/>
                <w:szCs w:val="20"/>
              </w:rPr>
              <w:t xml:space="preserve">ATTRACTIVE</w:t>
            </w:r>
          </w:p>
        </w:tc>
        <w:tc>
          <w:tcPr>
            <w:tcW w:type="dxa" w:w="1870"/>
            <w:shd w:fill="2E6B3E" w:val="clear"/>
            <w:tcMar>
              <w:top w:type="dxa" w:w="140"/>
              <w:left w:type="dxa" w:w="140"/>
              <w:bottom w:type="dxa" w:w="140"/>
              <w:right w:type="dxa" w:w="140"/>
            </w:tcMar>
            <w:vAlign w:val="center"/>
          </w:tcPr>
          <w:p>
            <w:pPr>
              <w:spacing w:after="40"/>
              <w:jc w:val="center"/>
            </w:pPr>
            <w:r>
              <w:rPr>
                <w:rFonts w:ascii="Calibri" w:cs="Calibri" w:eastAsia="Calibri" w:hAnsi="Calibri"/>
                <w:b/>
                <w:bCs/>
                <w:color w:val="FFFFFF"/>
                <w:sz w:val="20"/>
                <w:szCs w:val="20"/>
              </w:rPr>
              <w:t xml:space="preserve">MOST ATTRACTIVE</w:t>
            </w:r>
          </w:p>
        </w:tc>
      </w:tr>
    </w:tbl>
    <w:p>
      <w:pPr>
        <w:spacing w:after="200"/>
      </w:pPr>
    </w:p>
    <w:p>
      <w:pPr>
        <w:pStyle w:val="Heading2"/>
        <w:spacing w:after="140" w:before="320"/>
      </w:pPr>
      <w:r>
        <w:rPr>
          <w:rFonts w:ascii="Calibri" w:cs="Calibri" w:eastAsia="Calibri" w:hAnsi="Calibri"/>
          <w:b/>
          <w:bCs/>
          <w:color w:val="44607D"/>
          <w:sz w:val="24"/>
          <w:szCs w:val="24"/>
        </w:rPr>
        <w:t xml:space="preserve">5.2  </w:t>
      </w:r>
      <w:r>
        <w:rPr>
          <w:rFonts w:ascii="Calibri" w:cs="Calibri" w:eastAsia="Calibri" w:hAnsi="Calibri"/>
          <w:b/>
          <w:bCs/>
          <w:color w:val="1F3A5C"/>
          <w:sz w:val="24"/>
          <w:szCs w:val="24"/>
        </w:rPr>
        <w:t xml:space="preserve">Measurement</w:t>
      </w:r>
    </w:p>
    <w:p>
      <w:pPr>
        <w:spacing w:after="160" w:line="288"/>
        <w:jc w:val="left"/>
      </w:pPr>
      <w:r>
        <w:rPr>
          <w:rFonts w:ascii="Calibri" w:cs="Calibri" w:eastAsia="Calibri" w:hAnsi="Calibri"/>
          <w:color w:val="222222"/>
          <w:sz w:val="21"/>
          <w:szCs w:val="21"/>
        </w:rPr>
        <w:t xml:space="preserve">Absolute return calls are measured against the respective market's trailing total return performance relative to the forward-looking call. Intra-EM tactical asset allocation (TAA) trades — proposed by the team and implemented across various portfolios — are measured as relative total returns.</w:t>
      </w:r>
    </w:p>
    <w:p>
      <w:pPr>
        <w:pStyle w:val="Heading2"/>
        <w:spacing w:after="140" w:before="320"/>
      </w:pPr>
      <w:r>
        <w:rPr>
          <w:rFonts w:ascii="Calibri" w:cs="Calibri" w:eastAsia="Calibri" w:hAnsi="Calibri"/>
          <w:b/>
          <w:bCs/>
          <w:color w:val="44607D"/>
          <w:sz w:val="24"/>
          <w:szCs w:val="24"/>
        </w:rPr>
        <w:t xml:space="preserve">5.3  </w:t>
      </w:r>
      <w:r>
        <w:rPr>
          <w:rFonts w:ascii="Calibri" w:cs="Calibri" w:eastAsia="Calibri" w:hAnsi="Calibri"/>
          <w:b/>
          <w:bCs/>
          <w:color w:val="1F3A5C"/>
          <w:sz w:val="24"/>
          <w:szCs w:val="24"/>
        </w:rPr>
        <w:t xml:space="preserve">Decision-Making Process</w:t>
      </w:r>
    </w:p>
    <w:p>
      <w:pPr>
        <w:spacing w:after="160" w:line="288"/>
        <w:jc w:val="left"/>
      </w:pPr>
      <w:r>
        <w:rPr>
          <w:rFonts w:ascii="Calibri" w:cs="Calibri" w:eastAsia="Calibri" w:hAnsi="Calibri"/>
          <w:color w:val="222222"/>
          <w:sz w:val="21"/>
          <w:szCs w:val="21"/>
        </w:rPr>
        <w:t xml:space="preserve">The decision-making process rests on the following main pillars:</w:t>
      </w:r>
    </w:p>
    <w:p>
      <w:pPr>
        <w:pStyle w:val="ListParagraph"/>
        <w:numPr>
          <w:ilvl w:val="0"/>
          <w:numId w:val="2"/>
        </w:numPr>
        <w:spacing w:after="100" w:line="276"/>
      </w:pPr>
      <w:r>
        <w:rPr>
          <w:rFonts w:ascii="Calibri" w:cs="Calibri" w:eastAsia="Calibri" w:hAnsi="Calibri"/>
          <w:b w:val="false"/>
          <w:bCs w:val="false"/>
          <w:i w:val="false"/>
          <w:iCs w:val="false"/>
          <w:color w:val="222222"/>
          <w:sz w:val="21"/>
          <w:szCs w:val="21"/>
        </w:rPr>
        <w:t xml:space="preserve">An assessment of current market conditions, incorporating both the CIO macro view and the EM equity-vs-cash framework</w:t>
      </w:r>
    </w:p>
    <w:p>
      <w:pPr>
        <w:pStyle w:val="ListParagraph"/>
        <w:numPr>
          <w:ilvl w:val="0"/>
          <w:numId w:val="2"/>
        </w:numPr>
        <w:spacing w:after="100" w:line="276"/>
      </w:pPr>
      <w:r>
        <w:rPr>
          <w:rFonts w:ascii="Calibri" w:cs="Calibri" w:eastAsia="Calibri" w:hAnsi="Calibri"/>
          <w:b w:val="false"/>
          <w:bCs w:val="false"/>
          <w:i w:val="false"/>
          <w:iCs w:val="false"/>
          <w:color w:val="222222"/>
          <w:sz w:val="21"/>
          <w:szCs w:val="21"/>
        </w:rPr>
        <w:t xml:space="preserve">An assessment of emerging markets relative to developed markets</w:t>
      </w:r>
    </w:p>
    <w:p>
      <w:pPr>
        <w:pStyle w:val="ListParagraph"/>
        <w:numPr>
          <w:ilvl w:val="0"/>
          <w:numId w:val="2"/>
        </w:numPr>
        <w:spacing w:after="100" w:line="276"/>
      </w:pPr>
      <w:r>
        <w:rPr>
          <w:rFonts w:ascii="Calibri" w:cs="Calibri" w:eastAsia="Calibri" w:hAnsi="Calibri"/>
          <w:b w:val="false"/>
          <w:bCs w:val="false"/>
          <w:i w:val="false"/>
          <w:iCs w:val="false"/>
          <w:color w:val="222222"/>
          <w:sz w:val="21"/>
          <w:szCs w:val="21"/>
        </w:rPr>
        <w:t xml:space="preserve">An assessment of factors relevant to each main constituent, sector and style within the emerging markets equity index</w:t>
      </w:r>
    </w:p>
    <w:p>
      <w:pPr>
        <w:pStyle w:val="ListParagraph"/>
        <w:numPr>
          <w:ilvl w:val="0"/>
          <w:numId w:val="2"/>
        </w:numPr>
        <w:spacing w:after="100" w:line="276"/>
      </w:pPr>
      <w:r>
        <w:rPr>
          <w:rFonts w:ascii="Calibri" w:cs="Calibri" w:eastAsia="Calibri" w:hAnsi="Calibri"/>
          <w:b w:val="false"/>
          <w:bCs w:val="false"/>
          <w:i w:val="false"/>
          <w:iCs w:val="false"/>
          <w:color w:val="222222"/>
          <w:sz w:val="21"/>
          <w:szCs w:val="21"/>
        </w:rPr>
        <w:t xml:space="preserve">A combined assessment of the country rotation framework, collaboration with Asia on intra-equity changes, and bottom-up input from equity analysts</w:t>
      </w:r>
    </w:p>
    <w:p>
      <w:pPr>
        <w:pStyle w:val="ListParagraph"/>
        <w:numPr>
          <w:ilvl w:val="0"/>
          <w:numId w:val="2"/>
        </w:numPr>
        <w:spacing w:after="100" w:line="276"/>
      </w:pPr>
      <w:r>
        <w:rPr>
          <w:rFonts w:ascii="Calibri" w:cs="Calibri" w:eastAsia="Calibri" w:hAnsi="Calibri"/>
          <w:b w:val="false"/>
          <w:bCs w:val="false"/>
          <w:i w:val="false"/>
          <w:iCs w:val="false"/>
          <w:color w:val="222222"/>
          <w:sz w:val="21"/>
          <w:szCs w:val="21"/>
        </w:rPr>
        <w:t xml:space="preserve">An assessment of factors relevant to current and potential thematic ideas</w:t>
      </w:r>
    </w:p>
    <w:p>
      <w:pPr>
        <w:spacing w:after="160" w:line="288"/>
        <w:jc w:val="left"/>
      </w:pPr>
      <w:r>
        <w:rPr>
          <w:rFonts w:ascii="Calibri" w:cs="Calibri" w:eastAsia="Calibri" w:hAnsi="Calibri"/>
          <w:b w:val="false"/>
          <w:bCs w:val="false"/>
          <w:i w:val="false"/>
          <w:iCs w:val="false"/>
          <w:color w:val="222222"/>
          <w:sz w:val="21"/>
          <w:szCs w:val="21"/>
        </w:rPr>
        <w:t xml:space="preserve">The monthly publication of the EM equity strategy (EM equity monthly, flagship, VIEW, etc.) represents the formal record of decisions taken.</w:t>
      </w:r>
    </w:p>
    <w:p>
      <w:pPr>
        <w:pStyle w:val="Heading2"/>
        <w:spacing w:after="140" w:before="320"/>
      </w:pPr>
      <w:r>
        <w:rPr>
          <w:rFonts w:ascii="Calibri" w:cs="Calibri" w:eastAsia="Calibri" w:hAnsi="Calibri"/>
          <w:b/>
          <w:bCs/>
          <w:color w:val="44607D"/>
          <w:sz w:val="24"/>
          <w:szCs w:val="24"/>
        </w:rPr>
        <w:t xml:space="preserve">5.4  </w:t>
      </w:r>
      <w:r>
        <w:rPr>
          <w:rFonts w:ascii="Calibri" w:cs="Calibri" w:eastAsia="Calibri" w:hAnsi="Calibri"/>
          <w:b/>
          <w:bCs/>
          <w:color w:val="1F3A5C"/>
          <w:sz w:val="24"/>
          <w:szCs w:val="24"/>
        </w:rPr>
        <w:t xml:space="preserve">Economic Environment</w:t>
      </w:r>
    </w:p>
    <w:p>
      <w:pPr>
        <w:spacing w:after="160" w:line="288"/>
        <w:jc w:val="left"/>
      </w:pPr>
      <w:r>
        <w:rPr>
          <w:rFonts w:ascii="Calibri" w:cs="Calibri" w:eastAsia="Calibri" w:hAnsi="Calibri"/>
          <w:color w:val="222222"/>
          <w:sz w:val="21"/>
          <w:szCs w:val="21"/>
        </w:rPr>
        <w:t xml:space="preserve">The team monitors macroeconomic indicators such as GDP growth, PMI, industrial production, exports, inflation, retail sales, and the Citi economic and inflation surprise indices — all relevant to assessing earnings growth and equity returns — alongside macroeconomic forecasts. Monetary policy developments in emerging markets are followed closely, since tightening or easing biases influence expected equity market returns.</w:t>
      </w:r>
    </w:p>
    <w:p>
      <w:pPr>
        <w:pStyle w:val="Heading2"/>
        <w:spacing w:after="140" w:before="320"/>
      </w:pPr>
      <w:r>
        <w:rPr>
          <w:rFonts w:ascii="Calibri" w:cs="Calibri" w:eastAsia="Calibri" w:hAnsi="Calibri"/>
          <w:b/>
          <w:bCs/>
          <w:color w:val="44607D"/>
          <w:sz w:val="24"/>
          <w:szCs w:val="24"/>
        </w:rPr>
        <w:t xml:space="preserve">5.5  </w:t>
      </w:r>
      <w:r>
        <w:rPr>
          <w:rFonts w:ascii="Calibri" w:cs="Calibri" w:eastAsia="Calibri" w:hAnsi="Calibri"/>
          <w:b/>
          <w:bCs/>
          <w:color w:val="1F3A5C"/>
          <w:sz w:val="24"/>
          <w:szCs w:val="24"/>
        </w:rPr>
        <w:t xml:space="preserve">Earnings &amp; Valuation Analysis</w:t>
      </w:r>
    </w:p>
    <w:p>
      <w:pPr>
        <w:spacing w:after="160" w:line="288"/>
        <w:jc w:val="left"/>
      </w:pPr>
      <w:r>
        <w:rPr>
          <w:rFonts w:ascii="Calibri" w:cs="Calibri" w:eastAsia="Calibri" w:hAnsi="Calibri"/>
          <w:color w:val="222222"/>
          <w:sz w:val="21"/>
          <w:szCs w:val="21"/>
        </w:rPr>
        <w:t xml:space="preserve">Earnings and valuation outlook are monitored from both top-down and bottom-up perspectives:</w:t>
      </w:r>
    </w:p>
    <w:p>
      <w:pPr>
        <w:pStyle w:val="ListParagraph"/>
        <w:numPr>
          <w:ilvl w:val="0"/>
          <w:numId w:val="2"/>
        </w:numPr>
        <w:spacing w:after="100" w:line="276"/>
      </w:pPr>
      <w:r>
        <w:rPr>
          <w:rFonts w:ascii="Calibri" w:cs="Calibri" w:eastAsia="Calibri" w:hAnsi="Calibri"/>
          <w:b/>
          <w:bCs/>
          <w:i w:val="false"/>
          <w:iCs w:val="false"/>
          <w:color w:val="222222"/>
          <w:sz w:val="21"/>
          <w:szCs w:val="21"/>
        </w:rPr>
        <w:t xml:space="preserve">Top-down estimate: </w:t>
      </w:r>
      <w:r>
        <w:rPr>
          <w:rFonts w:ascii="Calibri" w:cs="Calibri" w:eastAsia="Calibri" w:hAnsi="Calibri"/>
          <w:b w:val="false"/>
          <w:bCs w:val="false"/>
          <w:i w:val="false"/>
          <w:iCs w:val="false"/>
          <w:color w:val="222222"/>
          <w:sz w:val="21"/>
          <w:szCs w:val="21"/>
        </w:rPr>
        <w:t xml:space="preserve">12-month trailing earnings are estimated from macroeconomic indicators (GDP growth, DXY) using an OLS framework, updated quarterly.</w:t>
      </w:r>
    </w:p>
    <w:p>
      <w:pPr>
        <w:pStyle w:val="ListParagraph"/>
        <w:numPr>
          <w:ilvl w:val="0"/>
          <w:numId w:val="2"/>
        </w:numPr>
        <w:spacing w:after="100" w:line="276"/>
      </w:pPr>
      <w:r>
        <w:rPr>
          <w:rFonts w:ascii="Calibri" w:cs="Calibri" w:eastAsia="Calibri" w:hAnsi="Calibri"/>
          <w:b/>
          <w:bCs/>
          <w:i w:val="false"/>
          <w:iCs w:val="false"/>
          <w:color w:val="222222"/>
          <w:sz w:val="21"/>
          <w:szCs w:val="21"/>
        </w:rPr>
        <w:t xml:space="preserve">Bottom-up (consensus): </w:t>
      </w:r>
      <w:r>
        <w:rPr>
          <w:rFonts w:ascii="Calibri" w:cs="Calibri" w:eastAsia="Calibri" w:hAnsi="Calibri"/>
          <w:b w:val="false"/>
          <w:bCs w:val="false"/>
          <w:i w:val="false"/>
          <w:iCs w:val="false"/>
          <w:color w:val="222222"/>
          <w:sz w:val="21"/>
          <w:szCs w:val="21"/>
        </w:rPr>
        <w:t xml:space="preserve">Consensus earnings estimates are sourced from I/B/E/S.</w:t>
      </w:r>
    </w:p>
    <w:p>
      <w:pPr>
        <w:spacing w:after="160" w:line="288"/>
        <w:jc w:val="left"/>
      </w:pPr>
      <w:r>
        <w:rPr>
          <w:rFonts w:ascii="Calibri" w:cs="Calibri" w:eastAsia="Calibri" w:hAnsi="Calibri"/>
          <w:color w:val="222222"/>
          <w:sz w:val="21"/>
          <w:szCs w:val="21"/>
        </w:rPr>
        <w:t xml:space="preserve">To arrive at final return estimates, CIO FX forecasts are overlaid and EPS estimates are averaged into an aggregated earnings estimate, together with 12-month-trailing P/E estimates (based on valuation discount, credit conditions, and rates). These estimates are then compared against scorecards and current positioning. For MSCI EM, the earnings forecast is provided to the GAA team, which computes the multiple and final index point estimate across regions.</w:t>
      </w:r>
    </w:p>
    <w:p>
      <w:r>
        <w:br w:type="page"/>
      </w:r>
    </w:p>
    <w:p>
      <w:pPr>
        <w:pStyle w:val="Heading1"/>
        <w:pBdr>
          <w:bottom w:val="single" w:color="B08D3F" w:sz="6" w:space="6"/>
        </w:pBdr>
        <w:spacing w:after="200" w:before="480"/>
      </w:pPr>
      <w:r>
        <w:rPr>
          <w:rFonts w:ascii="Calibri" w:cs="Calibri" w:eastAsia="Calibri" w:hAnsi="Calibri"/>
          <w:b/>
          <w:bCs/>
          <w:color w:val="B08D3F"/>
          <w:sz w:val="30"/>
          <w:szCs w:val="30"/>
        </w:rPr>
        <w:t xml:space="preserve"/>
      </w:r>
      <w:r>
        <w:rPr>
          <w:rFonts w:ascii="Calibri" w:cs="Calibri" w:eastAsia="Calibri" w:hAnsi="Calibri"/>
          <w:b/>
          <w:bCs/>
          <w:color w:val="16283F"/>
          <w:sz w:val="30"/>
          <w:szCs w:val="30"/>
        </w:rPr>
        <w:t xml:space="preserve">Glossary of Acronyms</w:t>
      </w:r>
    </w:p>
    <w:p>
      <w:pPr>
        <w:spacing w:after="160" w:line="288"/>
        <w:jc w:val="left"/>
      </w:pPr>
      <w:r>
        <w:rPr>
          <w:rFonts w:ascii="Calibri" w:cs="Calibri" w:eastAsia="Calibri" w:hAnsi="Calibri"/>
          <w:color w:val="222222"/>
          <w:sz w:val="21"/>
          <w:szCs w:val="21"/>
        </w:rPr>
        <w:t xml:space="preserve">A reference list of acronyms and abbreviations used throughout this manual.</w:t>
      </w:r>
    </w:p>
    <w:p>
      <w:pPr>
        <w:spacing w:after="80"/>
      </w:pPr>
    </w:p>
    <w:tbl>
      <w:tblPr>
        <w:tblW w:type="dxa" w:w="9350"/>
        <w:tblBorders>
          <w:top w:val="single" w:color="C9C2B4" w:sz="4"/>
          <w:left w:val="single" w:color="C9C2B4" w:sz="4"/>
          <w:bottom w:val="single" w:color="C9C2B4" w:sz="4"/>
          <w:right w:val="single" w:color="C9C2B4" w:sz="4"/>
          <w:insideH w:val="single" w:color="C9C2B4" w:sz="2"/>
          <w:insideV w:val="single" w:color="C9C2B4" w:sz="2"/>
        </w:tblBorders>
      </w:tblPr>
      <w:tblGrid>
        <w:gridCol w:w="1900"/>
        <w:gridCol w:w="7450"/>
      </w:tblGrid>
      <w:tr>
        <w:trPr>
          <w:tblHeader/>
        </w:trPr>
        <w:tc>
          <w:tcPr>
            <w:tcW w:type="dxa" w:w="1900"/>
            <w:shd w:fill="1F3A5C"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Term</w:t>
            </w:r>
          </w:p>
        </w:tc>
        <w:tc>
          <w:tcPr>
            <w:tcW w:type="dxa" w:w="7450"/>
            <w:shd w:fill="1F3A5C"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Meaning</w:t>
            </w:r>
          </w:p>
        </w:tc>
      </w:tr>
      <w:tr>
        <w:tc>
          <w:tcPr>
            <w:tcW w:type="dxa" w:w="190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APAC IO</w:t>
            </w:r>
          </w:p>
        </w:tc>
        <w:tc>
          <w:tcPr>
            <w:tcW w:type="dxa" w:w="745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Asia Pacific Investment Office</w:t>
            </w:r>
          </w:p>
        </w:tc>
      </w:tr>
      <w:tr>
        <w:tc>
          <w:tcPr>
            <w:tcW w:type="dxa" w:w="190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BRO</w:t>
            </w:r>
          </w:p>
        </w:tc>
        <w:tc>
          <w:tcPr>
            <w:tcW w:type="dxa" w:w="745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Internal function that clears the discontinuation of sanctioned issuers (Section 2.7)</w:t>
            </w:r>
          </w:p>
        </w:tc>
      </w:tr>
      <w:tr>
        <w:tc>
          <w:tcPr>
            <w:tcW w:type="dxa" w:w="190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CDS</w:t>
            </w:r>
          </w:p>
        </w:tc>
        <w:tc>
          <w:tcPr>
            <w:tcW w:type="dxa" w:w="745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Credit Default Swap</w:t>
            </w:r>
          </w:p>
        </w:tc>
      </w:tr>
      <w:tr>
        <w:tc>
          <w:tcPr>
            <w:tcW w:type="dxa" w:w="190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CEMBI</w:t>
            </w:r>
          </w:p>
        </w:tc>
        <w:tc>
          <w:tcPr>
            <w:tcW w:type="dxa" w:w="745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Corporate Emerging Markets Bond Index (J.P. Morgan)</w:t>
            </w:r>
          </w:p>
        </w:tc>
      </w:tr>
      <w:tr>
        <w:tc>
          <w:tcPr>
            <w:tcW w:type="dxa" w:w="190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CIO</w:t>
            </w:r>
          </w:p>
        </w:tc>
        <w:tc>
          <w:tcPr>
            <w:tcW w:type="dxa" w:w="745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Chief Investment Office</w:t>
            </w:r>
          </w:p>
        </w:tc>
      </w:tr>
      <w:tr>
        <w:tc>
          <w:tcPr>
            <w:tcW w:type="dxa" w:w="190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CPI</w:t>
            </w:r>
          </w:p>
        </w:tc>
        <w:tc>
          <w:tcPr>
            <w:tcW w:type="dxa" w:w="745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Consumer Price Index</w:t>
            </w:r>
          </w:p>
        </w:tc>
      </w:tr>
      <w:tr>
        <w:tc>
          <w:tcPr>
            <w:tcW w:type="dxa" w:w="190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DM</w:t>
            </w:r>
          </w:p>
        </w:tc>
        <w:tc>
          <w:tcPr>
            <w:tcW w:type="dxa" w:w="745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Developed Markets</w:t>
            </w:r>
          </w:p>
        </w:tc>
      </w:tr>
      <w:tr>
        <w:tc>
          <w:tcPr>
            <w:tcW w:type="dxa" w:w="190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DXY</w:t>
            </w:r>
          </w:p>
        </w:tc>
        <w:tc>
          <w:tcPr>
            <w:tcW w:type="dxa" w:w="745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US Dollar Index</w:t>
            </w:r>
          </w:p>
        </w:tc>
      </w:tr>
      <w:tr>
        <w:tc>
          <w:tcPr>
            <w:tcW w:type="dxa" w:w="190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EIC</w:t>
            </w:r>
          </w:p>
        </w:tc>
        <w:tc>
          <w:tcPr>
            <w:tcW w:type="dxa" w:w="745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Internal review process behind the FX report four-eyes check (Section 3.3)</w:t>
            </w:r>
          </w:p>
        </w:tc>
      </w:tr>
      <w:tr>
        <w:tc>
          <w:tcPr>
            <w:tcW w:type="dxa" w:w="190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ELMI+</w:t>
            </w:r>
          </w:p>
        </w:tc>
        <w:tc>
          <w:tcPr>
            <w:tcW w:type="dxa" w:w="745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Emerging Local Markets Index Plus (J.P. Morgan)</w:t>
            </w:r>
          </w:p>
        </w:tc>
      </w:tr>
      <w:tr>
        <w:tc>
          <w:tcPr>
            <w:tcW w:type="dxa" w:w="190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EM</w:t>
            </w:r>
          </w:p>
        </w:tc>
        <w:tc>
          <w:tcPr>
            <w:tcW w:type="dxa" w:w="745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Emerging Markets</w:t>
            </w:r>
          </w:p>
        </w:tc>
      </w:tr>
      <w:tr>
        <w:tc>
          <w:tcPr>
            <w:tcW w:type="dxa" w:w="190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EMBI</w:t>
            </w:r>
          </w:p>
        </w:tc>
        <w:tc>
          <w:tcPr>
            <w:tcW w:type="dxa" w:w="745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Emerging Markets Bond Index (J.P. Morgan)</w:t>
            </w:r>
          </w:p>
        </w:tc>
      </w:tr>
      <w:tr>
        <w:tc>
          <w:tcPr>
            <w:tcW w:type="dxa" w:w="190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EMEA</w:t>
            </w:r>
          </w:p>
        </w:tc>
        <w:tc>
          <w:tcPr>
            <w:tcW w:type="dxa" w:w="745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Europe, Middle East &amp; Africa</w:t>
            </w:r>
          </w:p>
        </w:tc>
      </w:tr>
      <w:tr>
        <w:tc>
          <w:tcPr>
            <w:tcW w:type="dxa" w:w="190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EPS</w:t>
            </w:r>
          </w:p>
        </w:tc>
        <w:tc>
          <w:tcPr>
            <w:tcW w:type="dxa" w:w="745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Earnings Per Share</w:t>
            </w:r>
          </w:p>
        </w:tc>
      </w:tr>
      <w:tr>
        <w:tc>
          <w:tcPr>
            <w:tcW w:type="dxa" w:w="190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GAA</w:t>
            </w:r>
          </w:p>
        </w:tc>
        <w:tc>
          <w:tcPr>
            <w:tcW w:type="dxa" w:w="745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Global Asset Allocation (team)</w:t>
            </w:r>
          </w:p>
        </w:tc>
      </w:tr>
      <w:tr>
        <w:tc>
          <w:tcPr>
            <w:tcW w:type="dxa" w:w="190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GBI-EM</w:t>
            </w:r>
          </w:p>
        </w:tc>
        <w:tc>
          <w:tcPr>
            <w:tcW w:type="dxa" w:w="745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Government Bond Index – Emerging Markets (J.P. Morgan)</w:t>
            </w:r>
          </w:p>
        </w:tc>
      </w:tr>
      <w:tr>
        <w:tc>
          <w:tcPr>
            <w:tcW w:type="dxa" w:w="190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GDP</w:t>
            </w:r>
          </w:p>
        </w:tc>
        <w:tc>
          <w:tcPr>
            <w:tcW w:type="dxa" w:w="745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Gross Domestic Product</w:t>
            </w:r>
          </w:p>
        </w:tc>
      </w:tr>
      <w:tr>
        <w:tc>
          <w:tcPr>
            <w:tcW w:type="dxa" w:w="190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I/B/E/S</w:t>
            </w:r>
          </w:p>
        </w:tc>
        <w:tc>
          <w:tcPr>
            <w:tcW w:type="dxa" w:w="745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Institutional Brokers' Estimate System (consensus earnings data)</w:t>
            </w:r>
          </w:p>
        </w:tc>
      </w:tr>
      <w:tr>
        <w:tc>
          <w:tcPr>
            <w:tcW w:type="dxa" w:w="190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IR</w:t>
            </w:r>
          </w:p>
        </w:tc>
        <w:tc>
          <w:tcPr>
            <w:tcW w:type="dxa" w:w="745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Information Ratio</w:t>
            </w:r>
          </w:p>
        </w:tc>
      </w:tr>
      <w:tr>
        <w:tc>
          <w:tcPr>
            <w:tcW w:type="dxa" w:w="190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JACI</w:t>
            </w:r>
          </w:p>
        </w:tc>
        <w:tc>
          <w:tcPr>
            <w:tcW w:type="dxa" w:w="745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J.P. Morgan Asia Credit Index</w:t>
            </w:r>
          </w:p>
        </w:tc>
      </w:tr>
      <w:tr>
        <w:tc>
          <w:tcPr>
            <w:tcW w:type="dxa" w:w="190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KPI</w:t>
            </w:r>
          </w:p>
        </w:tc>
        <w:tc>
          <w:tcPr>
            <w:tcW w:type="dxa" w:w="745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Key Performance Indicator</w:t>
            </w:r>
          </w:p>
        </w:tc>
      </w:tr>
      <w:tr>
        <w:tc>
          <w:tcPr>
            <w:tcW w:type="dxa" w:w="190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LatAm</w:t>
            </w:r>
          </w:p>
        </w:tc>
        <w:tc>
          <w:tcPr>
            <w:tcW w:type="dxa" w:w="745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Latin America</w:t>
            </w:r>
          </w:p>
        </w:tc>
      </w:tr>
      <w:tr>
        <w:tc>
          <w:tcPr>
            <w:tcW w:type="dxa" w:w="190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MSCI</w:t>
            </w:r>
          </w:p>
        </w:tc>
        <w:tc>
          <w:tcPr>
            <w:tcW w:type="dxa" w:w="745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Morgan Stanley Capital International (index provider)</w:t>
            </w:r>
          </w:p>
        </w:tc>
      </w:tr>
      <w:tr>
        <w:tc>
          <w:tcPr>
            <w:tcW w:type="dxa" w:w="190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OLS</w:t>
            </w:r>
          </w:p>
        </w:tc>
        <w:tc>
          <w:tcPr>
            <w:tcW w:type="dxa" w:w="745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Ordinary Least Squares (regression method)</w:t>
            </w:r>
          </w:p>
        </w:tc>
      </w:tr>
      <w:tr>
        <w:tc>
          <w:tcPr>
            <w:tcW w:type="dxa" w:w="190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PE / 12MT PE</w:t>
            </w:r>
          </w:p>
        </w:tc>
        <w:tc>
          <w:tcPr>
            <w:tcW w:type="dxa" w:w="745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Price-to-Earnings ratio / 12-month trailing P/E</w:t>
            </w:r>
          </w:p>
        </w:tc>
      </w:tr>
      <w:tr>
        <w:tc>
          <w:tcPr>
            <w:tcW w:type="dxa" w:w="190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PMI</w:t>
            </w:r>
          </w:p>
        </w:tc>
        <w:tc>
          <w:tcPr>
            <w:tcW w:type="dxa" w:w="745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Purchasing Managers' Index</w:t>
            </w:r>
          </w:p>
        </w:tc>
      </w:tr>
      <w:tr>
        <w:tc>
          <w:tcPr>
            <w:tcW w:type="dxa" w:w="190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REER</w:t>
            </w:r>
          </w:p>
        </w:tc>
        <w:tc>
          <w:tcPr>
            <w:tcW w:type="dxa" w:w="745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Real Effective Exchange Rate</w:t>
            </w:r>
          </w:p>
        </w:tc>
      </w:tr>
      <w:tr>
        <w:tc>
          <w:tcPr>
            <w:tcW w:type="dxa" w:w="190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TAA</w:t>
            </w:r>
          </w:p>
        </w:tc>
        <w:tc>
          <w:tcPr>
            <w:tcW w:type="dxa" w:w="7450"/>
            <w:shd w:fill="F7F5F0"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Tactical Asset Allocation</w:t>
            </w:r>
          </w:p>
        </w:tc>
      </w:tr>
      <w:tr>
        <w:tc>
          <w:tcPr>
            <w:tcW w:type="dxa" w:w="190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TIF</w:t>
            </w:r>
          </w:p>
        </w:tc>
        <w:tc>
          <w:tcPr>
            <w:tcW w:type="dxa" w:w="7450"/>
            <w:shd w:fill="FFFFFF" w:val="clear"/>
            <w:tcMar>
              <w:top w:type="dxa" w:w="90"/>
              <w:left w:type="dxa" w:w="140"/>
              <w:bottom w:type="dxa" w:w="90"/>
              <w:right w:type="dxa" w:w="140"/>
            </w:tcMar>
            <w:vAlign w:val="center"/>
          </w:tcPr>
          <w:p>
            <w:pPr>
              <w:spacing w:line="260"/>
            </w:pPr>
            <w:r>
              <w:rPr>
                <w:rFonts w:ascii="Calibri" w:cs="Calibri" w:eastAsia="Calibri" w:hAnsi="Calibri"/>
                <w:color w:val="222222"/>
                <w:sz w:val="19"/>
                <w:szCs w:val="19"/>
              </w:rPr>
              <w:t xml:space="preserve">Internal process for measuring investment theme performance (Section 3.1)</w:t>
            </w:r>
          </w:p>
        </w:tc>
      </w:tr>
    </w:tbl>
    <w:p>
      <w:pPr>
        <w:spacing w:after="200"/>
      </w:pPr>
    </w:p>
    <w:p>
      <w:pPr>
        <w:spacing w:after="160" w:line="288"/>
        <w:jc w:val="left"/>
      </w:pPr>
      <w:r>
        <w:rPr>
          <w:rFonts w:ascii="Calibri" w:cs="Calibri" w:eastAsia="Calibri" w:hAnsi="Calibri"/>
          <w:b/>
          <w:bCs/>
          <w:i w:val="false"/>
          <w:iCs w:val="false"/>
          <w:color w:val="5B6670"/>
          <w:sz w:val="19"/>
          <w:szCs w:val="19"/>
        </w:rPr>
        <w:t xml:space="preserve">Note: </w:t>
      </w:r>
      <w:r>
        <w:rPr>
          <w:rFonts w:ascii="Calibri" w:cs="Calibri" w:eastAsia="Calibri" w:hAnsi="Calibri"/>
          <w:b w:val="false"/>
          <w:bCs w:val="false"/>
          <w:i/>
          <w:iCs/>
          <w:color w:val="5B6670"/>
          <w:sz w:val="19"/>
          <w:szCs w:val="19"/>
        </w:rPr>
        <w:t xml:space="preserve">a reference to “ABR” in the Emerging Market Credit paragraph (Section 1.3) has been removed from this version. It appeared in the source without a spelled-out definition, and a question about what it stood for was never answered, so it's been left out rather than guessed at. If the team can confirm the full term, it can be reinstated there.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670"/>
        <w:sz w:val="16"/>
        <w:szCs w:val="16"/>
      </w:rPr>
      <w:t xml:space="preserve">Page </w:t>
    </w:r>
    <w:r>
      <w:rPr>
        <w:rFonts w:ascii="Calibri" w:cs="Calibri" w:eastAsia="Calibri" w:hAnsi="Calibri"/>
        <w:color w:val="5B6670"/>
        <w:sz w:val="16"/>
        <w:szCs w:val="16"/>
      </w:rPr>
      <w:fldChar w:fldCharType="begin"/>
      <w:instrText xml:space="preserve">PAGE</w:instrText>
      <w:fldChar w:fldCharType="separate"/>
      <w:fldChar w:fldCharType="end"/>
    </w:r>
    <w:r>
      <w:rPr>
        <w:rFonts w:ascii="Calibri" w:cs="Calibri" w:eastAsia="Calibri" w:hAnsi="Calibri"/>
        <w:color w:val="5B6670"/>
        <w:sz w:val="16"/>
        <w:szCs w:val="16"/>
      </w:rPr>
      <w:t xml:space="preserve"> of </w:t>
    </w:r>
    <w:r>
      <w:rPr>
        <w:rFonts w:ascii="Calibri" w:cs="Calibri" w:eastAsia="Calibri" w:hAnsi="Calibri"/>
        <w:color w:val="5B66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2B4" w:sz="4" w:space="6"/>
      </w:pBdr>
      <w:tabs>
        <w:tab w:val="right" w:pos="9026"/>
      </w:tabs>
    </w:pPr>
    <w:r>
      <w:rPr>
        <w:rFonts w:ascii="Calibri" w:cs="Calibri" w:eastAsia="Calibri" w:hAnsi="Calibri"/>
        <w:color w:val="5B6670"/>
        <w:sz w:val="16"/>
        <w:szCs w:val="16"/>
      </w:rPr>
      <w:t xml:space="preserve">EM Investment Office Manual</w:t>
    </w:r>
    <w:r>
      <w:rPr>
        <w:rFonts w:ascii="Calibri" w:cs="Calibri" w:eastAsia="Calibri" w:hAnsi="Calibri"/>
        <w:color w:val="5B6670"/>
        <w:sz w:val="16"/>
        <w:szCs w:val="16"/>
      </w:rPr>
      <w:t xml:space="preserve">	Documentation of Methodology and Processes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B08D3F"/>
      </w:rPr>
    </w:lvl>
    <w:lvl w:ilvl="1" w15:tentative="1">
      <w:start w:val="1"/>
      <w:numFmt w:val="bullet"/>
      <w:lvlText w:val="–"/>
      <w:lvlJc w:val="left"/>
      <w:pPr>
        <w:ind w:left="820" w:hanging="260"/>
      </w:pPr>
      <w:rPr>
        <w:color w:val="44607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6283F"/>
      <w:sz w:val="30"/>
      <w:szCs w:val="30"/>
    </w:rPr>
  </w:style>
  <w:style w:type="paragraph" w:styleId="Heading2">
    <w:name w:val="Heading 2"/>
    <w:basedOn w:val="Normal"/>
    <w:next w:val="Normal"/>
    <w:qFormat/>
    <w:pPr>
      <w:spacing w:after="140" w:before="320"/>
      <w:outlineLvl w:val="1"/>
    </w:pPr>
    <w:rPr>
      <w:rFonts w:ascii="Calibri" w:cs="Calibri" w:eastAsia="Calibri" w:hAnsi="Calibri"/>
      <w:b/>
      <w:bCs/>
      <w:color w:val="1F3A5C"/>
      <w:sz w:val="24"/>
      <w:szCs w:val="24"/>
    </w:rPr>
  </w:style>
  <w:style w:type="paragraph" w:styleId="Heading3">
    <w:name w:val="Heading 3"/>
    <w:basedOn w:val="Normal"/>
    <w:next w:val="Normal"/>
    <w:qFormat/>
    <w:pPr>
      <w:spacing w:after="100" w:before="220"/>
      <w:outlineLvl w:val="2"/>
    </w:pPr>
    <w:rPr>
      <w:rFonts w:ascii="Calibri" w:cs="Calibri" w:eastAsia="Calibri" w:hAnsi="Calibri"/>
      <w:b/>
      <w:bCs/>
      <w:color w:val="44607D"/>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2026-07-17T15:09:03.458Z</dcterms:created>
  <dcterms:modified xsi:type="dcterms:W3CDTF">2026-07-17T15:09:03.473Z</dcterms:modified>
</cp:coreProperties>
</file>

<file path=docProps/custom.xml><?xml version="1.0" encoding="utf-8"?>
<Properties xmlns="http://schemas.openxmlformats.org/officeDocument/2006/custom-properties" xmlns:vt="http://schemas.openxmlformats.org/officeDocument/2006/docPropsVTypes"/>
</file>