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32"/>
        </w:rPr>
        <w:t>Dominican Republic note — Source ledger &amp; fact-check pack</w:t>
      </w:r>
    </w:p>
    <w:p>
      <w:r>
        <w:rPr>
          <w:i/>
          <w:color w:val="595959"/>
          <w:sz w:val="18"/>
        </w:rPr>
        <w:t>Companion to: Dominican Republic — The rebound has legs, the oil bill has teeth (9 Jul 2026). Every data point in the note is listed below with its source, a direct link where one exists, and a verification status. Nothing here should be published until each ‘Confirm’ / ‘Terminal’ line is checked against the primary release or your terminal.</w:t>
      </w:r>
    </w:p>
    <w:p>
      <w:pPr>
        <w:spacing w:before="120"/>
      </w:pPr>
      <w:r>
        <w:rPr>
          <w:b/>
          <w:sz w:val="18"/>
        </w:rPr>
        <w:t xml:space="preserve">Status key   </w:t>
      </w:r>
      <w:r>
        <w:rPr>
          <w:b/>
          <w:color w:val="1E7A33"/>
          <w:sz w:val="18"/>
        </w:rPr>
        <w:t>PRIMARY</w:t>
      </w:r>
      <w:r>
        <w:rPr>
          <w:sz w:val="18"/>
        </w:rPr>
        <w:t xml:space="preserve"> links to the official government / agency release.   </w:t>
      </w:r>
      <w:r>
        <w:rPr>
          <w:b/>
          <w:color w:val="B06A00"/>
          <w:sz w:val="18"/>
        </w:rPr>
        <w:t>CONFIRM</w:t>
      </w:r>
      <w:r>
        <w:rPr>
          <w:sz w:val="18"/>
        </w:rPr>
        <w:t xml:space="preserve"> sourced from reputable press citing the official release — verify against the primary before publishing.   </w:t>
      </w:r>
      <w:r>
        <w:rPr>
          <w:b/>
          <w:color w:val="1E63A6"/>
          <w:sz w:val="18"/>
        </w:rPr>
        <w:t>TERMINAL</w:t>
      </w:r>
      <w:r>
        <w:rPr>
          <w:sz w:val="18"/>
        </w:rPr>
        <w:t xml:space="preserve"> market data — verify on Bloomberg / JPMorgan.   </w:t>
      </w:r>
      <w:r>
        <w:rPr>
          <w:b/>
          <w:color w:val="EC0016"/>
          <w:sz w:val="18"/>
        </w:rPr>
        <w:t>ILLUSTRATIVE</w:t>
      </w:r>
      <w:r>
        <w:rPr>
          <w:sz w:val="18"/>
        </w:rPr>
        <w:t xml:space="preserve"> placeholder chart series, not a cited figure — replace with Haver before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4176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Data point in the note</w:t>
            </w:r>
          </w:p>
        </w:tc>
        <w:tc>
          <w:tcPr>
            <w:tcW w:type="dxa" w:w="1656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Value used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368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Where to verify / notes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Activity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IMAE +4.7% y/y in May; +4.2% avg Jan–May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4.7% / 4.2%</w:t>
            </w:r>
          </w:p>
        </w:tc>
        <w:tc>
          <w:tcPr>
            <w:tcW w:type="dxa" w:w="3888"/>
          </w:tcPr>
          <w:p>
            <w:hyperlink r:id="rId9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press releases (Notas de prensa)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May release; corroborated by Proceso/Infobae. Verify exact BCRD nota.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Jan–Apr 2026 average growth 4.0% (vs 2.7% a yr earlier)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4.0% / 2.7%</w:t>
            </w:r>
          </w:p>
        </w:tc>
        <w:tc>
          <w:tcPr>
            <w:tcW w:type="dxa" w:w="3888"/>
          </w:tcPr>
          <w:p>
            <w:hyperlink r:id="rId10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Jan–Apr 2026 IMAE release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Official BCRD note.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January 2026 activity +3.5% y/y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3.5%</w:t>
            </w:r>
          </w:p>
        </w:tc>
        <w:tc>
          <w:tcPr>
            <w:tcW w:type="dxa" w:w="3888"/>
          </w:tcPr>
          <w:p>
            <w:hyperlink r:id="rId11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Jan 2026 IMAE release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Official BCRD note.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Sector detail May: construction +7.1%, services +5.3%, financial +8.2%, professional +8.3%, hotels/bars/rest +6.2%; free-zone mfg −4.1%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as listed</w:t>
            </w:r>
          </w:p>
        </w:tc>
        <w:tc>
          <w:tcPr>
            <w:tcW w:type="dxa" w:w="3888"/>
          </w:tcPr>
          <w:p>
            <w:hyperlink r:id="rId9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May IMAE release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In the BCRD May nota; confirm each sub-figure.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Construction credit +26.1% y/y through April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26.1%</w:t>
            </w:r>
          </w:p>
        </w:tc>
        <w:tc>
          <w:tcPr>
            <w:tcW w:type="dxa" w:w="3888"/>
          </w:tcPr>
          <w:p>
            <w:hyperlink r:id="rId10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Jan–Apr release / press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Cited by press from BCRD; confirm figure.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Tourism: &gt;2.6mn air arrivals Q1; &gt;900k in March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2.6mn / 900k</w:t>
            </w:r>
          </w:p>
        </w:tc>
        <w:tc>
          <w:tcPr>
            <w:tcW w:type="dxa" w:w="3888"/>
          </w:tcPr>
          <w:p>
            <w:hyperlink r:id="rId9">
              <w:r>
                <w:rPr>
                  <w:color w:val="0563C1"/>
                  <w:u w:val="single"/>
                  <w:sz w:val="15"/>
                  <w:rFonts w:ascii="Arial" w:hAnsi="Arial"/>
                </w:rPr>
                <w:t>Min. of Tourism (MITUR) / BCRD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Cross-check MITUR arrivals dashboard.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Consensus 2026 growth ~3.7–4.8%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3.7–4.8%</w:t>
            </w:r>
          </w:p>
        </w:tc>
        <w:tc>
          <w:tcPr>
            <w:tcW w:type="dxa" w:w="3888"/>
          </w:tcPr>
          <w:p>
            <w:hyperlink r:id="rId12">
              <w:r>
                <w:rPr>
                  <w:color w:val="0563C1"/>
                  <w:u w:val="single"/>
                  <w:sz w:val="15"/>
                  <w:rFonts w:ascii="Arial" w:hAnsi="Arial"/>
                </w:rPr>
                <w:t>IMF Art. IV / BCRD FMI mission note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IMF ~4%; Allianz 4.5–5%; FocusEconomics consensus.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Fiscal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Deficit ~RD$64bn to early June (~23% of full-yr plan); primary surplus ~RD$63bn (~0.7% GDP; 144% of yr plan)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RD$64bn / RD$63bn</w:t>
            </w:r>
          </w:p>
        </w:tc>
        <w:tc>
          <w:tcPr>
            <w:tcW w:type="dxa" w:w="3888"/>
          </w:tcPr>
          <w:p>
            <w:hyperlink r:id="rId13">
              <w:r>
                <w:rPr>
                  <w:color w:val="0563C1"/>
                  <w:u w:val="single"/>
                  <w:sz w:val="15"/>
                  <w:rFonts w:ascii="Arial" w:hAnsi="Arial"/>
                </w:rPr>
                <w:t>DIGEPRES — budget-execution reports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Figure from DIGEPRES monthly report (May/Jun) via DR1; open the latest monthly PDF to confirm.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DIGEPRES Jan–Mar 2026 execution report (context)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888"/>
          </w:tcPr>
          <w:p>
            <w:hyperlink r:id="rId14">
              <w:r>
                <w:rPr>
                  <w:color w:val="0563C1"/>
                  <w:u w:val="single"/>
                  <w:sz w:val="15"/>
                  <w:rFonts w:ascii="Arial" w:hAnsi="Arial"/>
                </w:rPr>
                <w:t>DIGEPRES — Informe Ene–Mar 2026 (PDF)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Quarterly execution detail.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2025 close: deficit ~3.6% GDP, primary ~+0.2%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−3.6% / +0.2%</w:t>
            </w:r>
          </w:p>
        </w:tc>
        <w:tc>
          <w:tcPr>
            <w:tcW w:type="dxa" w:w="3888"/>
          </w:tcPr>
          <w:p>
            <w:hyperlink r:id="rId15">
              <w:r>
                <w:rPr>
                  <w:color w:val="0563C1"/>
                  <w:u w:val="single"/>
                  <w:sz w:val="15"/>
                  <w:rFonts w:ascii="Arial" w:hAnsi="Arial"/>
                </w:rPr>
                <w:t>Hacienda — MFMP 2026–2030 (PDF)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Medium-term fiscal framework.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2026 targets: deficit 3.2% (RD$280.6bn), primary +0.5%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−3.2% / +0.5%</w:t>
            </w:r>
          </w:p>
        </w:tc>
        <w:tc>
          <w:tcPr>
            <w:tcW w:type="dxa" w:w="3888"/>
          </w:tcPr>
          <w:p>
            <w:hyperlink r:id="rId15">
              <w:r>
                <w:rPr>
                  <w:color w:val="0563C1"/>
                  <w:u w:val="single"/>
                  <w:sz w:val="15"/>
                  <w:rFonts w:ascii="Arial" w:hAnsi="Arial"/>
                </w:rPr>
                <w:t>Hacienda — MFMP 2026–2030 (PDF)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Also in DIGEPRES 2026 budget docs.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Law 30-26 fiscal reform: ~RD$50bn (~0.7% GDP); real-estate CG tax 25%→10%; ~RD$18bn/yr to electricity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RD$50bn</w:t>
            </w:r>
          </w:p>
        </w:tc>
        <w:tc>
          <w:tcPr>
            <w:tcW w:type="dxa" w:w="3888"/>
          </w:tcPr>
          <w:p>
            <w:hyperlink r:id="rId16">
              <w:r>
                <w:rPr>
                  <w:color w:val="0563C1"/>
                  <w:u w:val="single"/>
                  <w:sz w:val="15"/>
                  <w:rFonts w:ascii="Arial" w:hAnsi="Arial"/>
                </w:rPr>
                <w:t>Presidencia — Reforma Fiscal hub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RD$50bn is the government's own estimate; final text in Gaceta Oficial.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Reform 'does not fix structurally low tax take'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qualitative</w:t>
            </w:r>
          </w:p>
        </w:tc>
        <w:tc>
          <w:tcPr>
            <w:tcW w:type="dxa" w:w="3888"/>
          </w:tcPr>
          <w:p>
            <w:hyperlink r:id="rId17">
              <w:r>
                <w:rPr>
                  <w:color w:val="0563C1"/>
                  <w:u w:val="single"/>
                  <w:sz w:val="15"/>
                  <w:rFonts w:ascii="Arial" w:hAnsi="Arial"/>
                </w:rPr>
                <w:t>Infobae (analyst commentary)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Opinion/analysis; frame as such.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Prices &amp; monetary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Policy rate held 5.25% (repo 5.75%, o/n deposit 4.50%)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5.25%</w:t>
            </w:r>
          </w:p>
        </w:tc>
        <w:tc>
          <w:tcPr>
            <w:tcW w:type="dxa" w:w="3888"/>
          </w:tcPr>
          <w:p>
            <w:hyperlink r:id="rId18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June 2026 rate communiqué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Official monetary-policy communiqué.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Headline CPI 5.35% y/y (May), core 4.86%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5.35% / 4.86%</w:t>
            </w:r>
          </w:p>
        </w:tc>
        <w:tc>
          <w:tcPr>
            <w:tcW w:type="dxa" w:w="3888"/>
          </w:tcPr>
          <w:p>
            <w:hyperlink r:id="rId18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June rate communiqué / inflation report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Communiqué cites both; cross-check monthly IPC release.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BCRD: inflation back to target by Q4 2026; oil = supply shock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qualitative</w:t>
            </w:r>
          </w:p>
        </w:tc>
        <w:tc>
          <w:tcPr>
            <w:tcW w:type="dxa" w:w="3888"/>
          </w:tcPr>
          <w:p>
            <w:hyperlink r:id="rId18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June rate communiqué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Direct from communiqué.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Private credit +~8.6% y/y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8.6%</w:t>
            </w:r>
          </w:p>
        </w:tc>
        <w:tc>
          <w:tcPr>
            <w:tcW w:type="dxa" w:w="3888"/>
          </w:tcPr>
          <w:p>
            <w:hyperlink r:id="rId9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press / monetary program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Confirm exact figure in BCRD data.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External accounts &amp; energy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Current-account deficit ~2.5% GDP 2026; FDI 3.5–4.0%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~2.5% / 3.5–4.0%</w:t>
            </w:r>
          </w:p>
        </w:tc>
        <w:tc>
          <w:tcPr>
            <w:tcW w:type="dxa" w:w="3888"/>
          </w:tcPr>
          <w:p>
            <w:hyperlink r:id="rId19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balance of payments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Verify vs latest BoP release.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Remittances US$5.17bn Jan–May (+5.4%); FY ~US$12.2bn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US$5.17bn</w:t>
            </w:r>
          </w:p>
        </w:tc>
        <w:tc>
          <w:tcPr>
            <w:tcW w:type="dxa" w:w="3888"/>
          </w:tcPr>
          <w:p>
            <w:hyperlink r:id="rId9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— remittances release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BCRD remittances note (via DR1); confirm.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Tourism receipts FY &gt;US$11.9bn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US$11.9bn</w:t>
            </w:r>
          </w:p>
        </w:tc>
        <w:tc>
          <w:tcPr>
            <w:tcW w:type="dxa" w:w="3888"/>
          </w:tcPr>
          <w:p>
            <w:hyperlink r:id="rId9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/ MITUR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Confirm vs BCRD tourism data.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Hydrocarbon imports US$1.87bn Jan–Apr (+13.1%)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US$1.87bn</w:t>
            </w:r>
          </w:p>
        </w:tc>
        <w:tc>
          <w:tcPr>
            <w:tcW w:type="dxa" w:w="3888"/>
          </w:tcPr>
          <w:p>
            <w:hyperlink r:id="rId20">
              <w:r>
                <w:rPr>
                  <w:color w:val="0563C1"/>
                  <w:u w:val="single"/>
                  <w:sz w:val="15"/>
                  <w:rFonts w:ascii="Arial" w:hAnsi="Arial"/>
                </w:rPr>
                <w:t>DGA (Customs) via El Nacional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Primary = Dirección General de Aduanas trade stats.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BCRD sensitivity: ~US$63mn/bbl; +US$10 ≈ US$634mn ≈ 0.48% GDP on CA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US$63mn</w:t>
            </w:r>
          </w:p>
        </w:tc>
        <w:tc>
          <w:tcPr>
            <w:tcW w:type="dxa" w:w="3888"/>
          </w:tcPr>
          <w:p>
            <w:hyperlink r:id="rId21">
              <w:r>
                <w:rPr>
                  <w:color w:val="0563C1"/>
                  <w:u w:val="single"/>
                  <w:sz w:val="15"/>
                  <w:rFonts w:ascii="Arial" w:hAnsi="Arial"/>
                </w:rPr>
                <w:t>BCRD (via Listín Diario)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Primary = BCRD monetary program / IPM. Note: another source quotes US$77mn — reconcile.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1% US outbound-remittance tax (mid-2025), ~US$0.2bn/yr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US$0.2bn</w:t>
            </w:r>
          </w:p>
        </w:tc>
        <w:tc>
          <w:tcPr>
            <w:tcW w:type="dxa" w:w="3888"/>
          </w:tcPr>
          <w:p>
            <w:hyperlink r:id="rId22">
              <w:r>
                <w:rPr>
                  <w:color w:val="0563C1"/>
                  <w:u w:val="single"/>
                  <w:sz w:val="15"/>
                  <w:rFonts w:ascii="Arial" w:hAnsi="Arial"/>
                </w:rPr>
                <w:t>OBBBA (US law) coverage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Confirm the DR-specific cost estimate.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WTI ~US$90 (late May) → ~US$70 post-Hormuz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US$90→70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Bloomberg / market data</w:t>
            </w:r>
          </w:p>
        </w:tc>
        <w:tc>
          <w:tcPr>
            <w:tcW w:type="dxa" w:w="1368"/>
          </w:tcPr>
          <w:p>
            <w:r>
              <w:rPr>
                <w:b/>
                <w:color w:val="1E63A6"/>
                <w:sz w:val="16"/>
              </w:rPr>
              <w:t>TERMINAL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Verify WTI path on Bloomberg.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Debt &amp; issuance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NFPS debt ~49.3% of GDP as of Mar 2026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49.3%</w:t>
            </w:r>
          </w:p>
        </w:tc>
        <w:tc>
          <w:tcPr>
            <w:tcW w:type="dxa" w:w="3888"/>
          </w:tcPr>
          <w:p>
            <w:hyperlink r:id="rId23">
              <w:r>
                <w:rPr>
                  <w:color w:val="0563C1"/>
                  <w:u w:val="single"/>
                  <w:sz w:val="15"/>
                  <w:rFonts w:ascii="Arial" w:hAnsi="Arial"/>
                </w:rPr>
                <w:t>Crédito Público — news/debt bulletin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Official debt figure.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Feb 2026: US$2.75bn (8y+12y) + debut US$750mn green at 6.70%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US$2.75bn / US$750mn</w:t>
            </w:r>
          </w:p>
        </w:tc>
        <w:tc>
          <w:tcPr>
            <w:tcW w:type="dxa" w:w="3888"/>
          </w:tcPr>
          <w:p>
            <w:hyperlink r:id="rId24">
              <w:r>
                <w:rPr>
                  <w:color w:val="0563C1"/>
                  <w:u w:val="single"/>
                  <w:sz w:val="15"/>
                  <w:rFonts w:ascii="Arial" w:hAnsi="Arial"/>
                </w:rPr>
                <w:t>S&amp;P Global — rating of the bonds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7A33"/>
                <w:sz w:val="16"/>
              </w:rPr>
              <w:t>PRIMARY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Also Crédito Público issuance notice.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Ratings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Fitch moved BB- outlook to STABLE from positive (May 2026)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BB- stable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Fitch Ratings (portal / Bloomberg)</w:t>
            </w:r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Fitch site not machine-accessible here. Pull the rating action commentary on your Fitch/Bloomberg terminal to confirm date &amp; rationale.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S&amp;P BB (stable)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BB stable</w:t>
            </w:r>
          </w:p>
        </w:tc>
        <w:tc>
          <w:tcPr>
            <w:tcW w:type="dxa" w:w="3888"/>
          </w:tcPr>
          <w:p>
            <w:hyperlink r:id="rId25">
              <w:r>
                <w:rPr>
                  <w:color w:val="0563C1"/>
                  <w:u w:val="single"/>
                  <w:sz w:val="15"/>
                  <w:rFonts w:ascii="Arial" w:hAnsi="Arial"/>
                </w:rPr>
                <w:t>S&amp;P Global Ratings — DomRep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Confirm current on S&amp;P portal.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Moody's Ba2 (stable)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Ba2 stable</w:t>
            </w:r>
          </w:p>
        </w:tc>
        <w:tc>
          <w:tcPr>
            <w:tcW w:type="dxa" w:w="3888"/>
          </w:tcPr>
          <w:p>
            <w:hyperlink r:id="rId26">
              <w:r>
                <w:rPr>
                  <w:color w:val="0563C1"/>
                  <w:u w:val="single"/>
                  <w:sz w:val="15"/>
                  <w:rFonts w:ascii="Arial" w:hAnsi="Arial"/>
                </w:rPr>
                <w:t>Moody's — DomRep reports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B06A00"/>
                <w:sz w:val="16"/>
              </w:rPr>
              <w:t>CONFIRM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Confirm current on Moody's portal.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Market / performance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EMBI spread ~221bps; +52bps in Q1 2026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221bps / +52</w:t>
            </w:r>
          </w:p>
        </w:tc>
        <w:tc>
          <w:tcPr>
            <w:tcW w:type="dxa" w:w="3888"/>
          </w:tcPr>
          <w:p>
            <w:hyperlink r:id="rId27">
              <w:r>
                <w:rPr>
                  <w:color w:val="0563C1"/>
                  <w:u w:val="single"/>
                  <w:sz w:val="15"/>
                  <w:rFonts w:ascii="Arial" w:hAnsi="Arial"/>
                </w:rPr>
                <w:t>JPMorgan EMBI (via Rio Times)</w:t>
              </w:r>
            </w:hyperlink>
          </w:p>
        </w:tc>
        <w:tc>
          <w:tcPr>
            <w:tcW w:type="dxa" w:w="1368"/>
          </w:tcPr>
          <w:p>
            <w:r>
              <w:rPr>
                <w:b/>
                <w:color w:val="1E63A6"/>
                <w:sz w:val="16"/>
              </w:rPr>
              <w:t>TERMINAL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Verify DomRep EMBI level &amp; change on Bloomberg / JPMorgan.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2025 USD sovereign total return ~13%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~13%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JPMorgan EMBI</w:t>
            </w:r>
          </w:p>
        </w:tc>
        <w:tc>
          <w:tcPr>
            <w:tcW w:type="dxa" w:w="1368"/>
          </w:tcPr>
          <w:p>
            <w:r>
              <w:rPr>
                <w:b/>
                <w:color w:val="1E63A6"/>
                <w:sz w:val="16"/>
              </w:rPr>
              <w:t>TERMINAL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Verify on JPMorgan index / Bloomberg.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DomRep historically ~30bps inside BB median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~30bps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JPMorgan EMBI / your prior note</w:t>
            </w:r>
          </w:p>
        </w:tc>
        <w:tc>
          <w:tcPr>
            <w:tcW w:type="dxa" w:w="1368"/>
          </w:tcPr>
          <w:p>
            <w:r>
              <w:rPr>
                <w:b/>
                <w:color w:val="1E63A6"/>
                <w:sz w:val="16"/>
              </w:rPr>
              <w:t>TERMINAL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From your Mar-2026 note; refresh vs current medians.</w:t>
            </w:r>
          </w:p>
        </w:tc>
      </w:tr>
      <w:tr>
        <w:tc>
          <w:tcPr>
            <w:tcW w:type="dxa" w:w="14110"/>
            <w:gridSpan w:val="5"/>
            <w:shd w:val="clear" w:color="auto" w:fill="DCE6F1"/>
          </w:tcPr>
          <w:p>
            <w:r>
              <w:rPr>
                <w:b/>
                <w:color w:val="1E3A5F"/>
                <w:sz w:val="18"/>
              </w:rPr>
              <w:t>Chart figures (Fig 1 &amp; 2)</w:t>
            </w:r>
          </w:p>
        </w:tc>
      </w:tr>
      <w:tr>
        <w:tc>
          <w:tcPr>
            <w:tcW w:type="dxa" w:w="4176"/>
          </w:tcPr>
          <w:p>
            <w:r>
              <w:rPr>
                <w:sz w:val="16"/>
              </w:rPr>
              <w:t>Fig 1 real-GDP bars 2020–2027; Fig 2 fiscal/primary series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various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Illustrative placeholder series</w:t>
            </w:r>
          </w:p>
        </w:tc>
        <w:tc>
          <w:tcPr>
            <w:tcW w:type="dxa" w:w="1368"/>
          </w:tcPr>
          <w:p>
            <w:r>
              <w:rPr>
                <w:b/>
                <w:color w:val="EC0016"/>
                <w:sz w:val="16"/>
              </w:rPr>
              <w:t>ILLUSTRATIVE</w:t>
            </w:r>
          </w:p>
        </w:tc>
        <w:tc>
          <w:tcPr>
            <w:tcW w:type="dxa" w:w="3024"/>
          </w:tcPr>
          <w:p>
            <w:r>
              <w:rPr>
                <w:sz w:val="15"/>
              </w:rPr>
              <w:t>NOT sourced values — approximate. Replace with BCRD/Haver series before any client use.</w:t>
            </w:r>
          </w:p>
        </w:tc>
      </w:tr>
    </w:tbl>
    <w:p/>
    <w:p>
      <w:r>
        <w:rPr>
          <w:b/>
          <w:color w:val="1E3A5F"/>
          <w:sz w:val="24"/>
        </w:rPr>
        <w:t>A better way to fact-check going forward</w:t>
      </w:r>
    </w:p>
    <w:p>
      <w:pPr>
        <w:spacing w:after="60"/>
      </w:pPr>
      <w:r>
        <w:rPr>
          <w:sz w:val="18"/>
        </w:rPr>
        <w:t>1.  Build the note from the monitor, not from prose. If every headline number in the report is a cell in the Haver monitor, the source travels with the figure. I can wire the report so each figure references a monitor cell and auto-prints a footnote with the Haver mnemonic + release date — then ‘fact-checking’ is just reading the footnote.</w:t>
      </w:r>
    </w:p>
    <w:p>
      <w:pPr>
        <w:spacing w:after="60"/>
      </w:pPr>
      <w:r>
        <w:rPr>
          <w:sz w:val="18"/>
        </w:rPr>
        <w:t>2.  Two-key rule. Nothing goes out unless it has (a) a primary release link and (b) a terminal cross-check (Bloomberg/JPMorgan/Haver). This ledger is structured to enforce exactly that: clear the ambers and blues before publishing.</w:t>
      </w:r>
    </w:p>
    <w:p>
      <w:pPr>
        <w:spacing w:after="60"/>
      </w:pPr>
      <w:r>
        <w:rPr>
          <w:sz w:val="18"/>
        </w:rPr>
        <w:t>3.  Prefer primary Spanish-language releases. For DomRep the gold sources are BCRD (bancentral.gov.do — activity, prices, rates, BoP, remittances), DIGEPRES/Hacienda (execution &amp; targets), Crédito Público (debt &amp; issuance), and the Gaceta Oficial (laws). Press outlets are fine as a pointer, never as the citation.</w:t>
      </w:r>
    </w:p>
    <w:p>
      <w:pPr>
        <w:spacing w:after="60"/>
      </w:pPr>
      <w:r>
        <w:rPr>
          <w:sz w:val="18"/>
        </w:rPr>
        <w:t>4.  Every draft I hand you will ship with this ledger attached, auto-generated, so you can click through in minutes. If a figure has no primary link, it will be flagged ILLUSTRATIVE or CONFIRM by default — I will never present an unsourced number as fact.</w:t>
      </w:r>
    </w:p>
    <w:p>
      <w:pPr>
        <w:spacing w:after="60"/>
      </w:pPr>
      <w:r>
        <w:rPr>
          <w:sz w:val="18"/>
        </w:rPr>
        <w:t>5.  Ask me to show my work. At any point you can say ‘source line 7’ and I will give you the exact release, the quote, and the date. If I cannot, that line does not belong in the note.</w:t>
      </w:r>
    </w:p>
    <w:p>
      <w:r>
        <w:rPr>
          <w:b/>
          <w:color w:val="1E3A5F"/>
          <w:sz w:val="20"/>
        </w:rPr>
        <w:t>Primary source portals (bookmark these)</w:t>
      </w:r>
    </w:p>
    <w:p>
      <w:pPr>
        <w:spacing w:after="20"/>
      </w:pPr>
      <w:hyperlink r:id="rId9">
        <w:r>
          <w:rPr>
            <w:color w:val="0563C1"/>
            <w:u w:val="single"/>
            <w:sz w:val="17"/>
            <w:rFonts w:ascii="Arial" w:hAnsi="Arial"/>
          </w:rPr>
          <w:t>Banco Central (BCRD) — notas de prensa</w:t>
        </w:r>
      </w:hyperlink>
    </w:p>
    <w:p>
      <w:pPr>
        <w:spacing w:after="20"/>
      </w:pPr>
      <w:hyperlink r:id="rId28">
        <w:r>
          <w:rPr>
            <w:color w:val="0563C1"/>
            <w:u w:val="single"/>
            <w:sz w:val="17"/>
            <w:rFonts w:ascii="Arial" w:hAnsi="Arial"/>
          </w:rPr>
          <w:t>BCRD — comunicados de política monetaria</w:t>
        </w:r>
      </w:hyperlink>
    </w:p>
    <w:p>
      <w:pPr>
        <w:spacing w:after="20"/>
      </w:pPr>
      <w:hyperlink r:id="rId13">
        <w:r>
          <w:rPr>
            <w:color w:val="0563C1"/>
            <w:u w:val="single"/>
            <w:sz w:val="17"/>
            <w:rFonts w:ascii="Arial" w:hAnsi="Arial"/>
          </w:rPr>
          <w:t>Hacienda — ejecución presupuestaria</w:t>
        </w:r>
      </w:hyperlink>
    </w:p>
    <w:p>
      <w:pPr>
        <w:spacing w:after="20"/>
      </w:pPr>
      <w:hyperlink r:id="rId29">
        <w:r>
          <w:rPr>
            <w:color w:val="0563C1"/>
            <w:u w:val="single"/>
            <w:sz w:val="17"/>
            <w:rFonts w:ascii="Arial" w:hAnsi="Arial"/>
          </w:rPr>
          <w:t>DIGEPRES — informes de ejecución</w:t>
        </w:r>
      </w:hyperlink>
    </w:p>
    <w:p>
      <w:pPr>
        <w:spacing w:after="20"/>
      </w:pPr>
      <w:hyperlink r:id="rId30">
        <w:r>
          <w:rPr>
            <w:color w:val="0563C1"/>
            <w:u w:val="single"/>
            <w:sz w:val="17"/>
            <w:rFonts w:ascii="Arial" w:hAnsi="Arial"/>
          </w:rPr>
          <w:t>Dirección General de Crédito Público</w:t>
        </w:r>
      </w:hyperlink>
    </w:p>
    <w:p>
      <w:pPr>
        <w:spacing w:after="20"/>
      </w:pPr>
      <w:hyperlink r:id="rId16">
        <w:r>
          <w:rPr>
            <w:color w:val="0563C1"/>
            <w:u w:val="single"/>
            <w:sz w:val="17"/>
            <w:rFonts w:ascii="Arial" w:hAnsi="Arial"/>
          </w:rPr>
          <w:t>Presidencia — Reforma Fiscal</w:t>
        </w:r>
      </w:hyperlink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ancentral.gov.do/a/d/2528" TargetMode="External"/><Relationship Id="rId10" Type="http://schemas.openxmlformats.org/officeDocument/2006/relationships/hyperlink" Target="https://www.bancentral.gov.do/a/d/6579-economia-dominicana-registra-crecimiento-promedio-de-40--en-eneroabril-2026" TargetMode="External"/><Relationship Id="rId11" Type="http://schemas.openxmlformats.org/officeDocument/2006/relationships/hyperlink" Target="https://www.bancentral.gov.do/a/d/6504-economia-dominicana-registra-crecimiento-interanual-de-35--en-enero-2026" TargetMode="External"/><Relationship Id="rId12" Type="http://schemas.openxmlformats.org/officeDocument/2006/relationships/hyperlink" Target="https://www.bancentral.gov.do/a/d/6592-mision-del-fmi-estima-un-crecimiento-en-torno-al-4--y-una-inflacion-dentro-del-rango-meta-al-termino-de-2026-para-republica-dominicana" TargetMode="External"/><Relationship Id="rId13" Type="http://schemas.openxmlformats.org/officeDocument/2006/relationships/hyperlink" Target="https://www.hacienda.gob.do/transparencia/ejecucion-presupuestaria/" TargetMode="External"/><Relationship Id="rId14" Type="http://schemas.openxmlformats.org/officeDocument/2006/relationships/hyperlink" Target="https://www.digepres.gob.do/wp-content/uploads/2026/04/Informe-Enero-Marzo-2026-1.pdf" TargetMode="External"/><Relationship Id="rId15" Type="http://schemas.openxmlformats.org/officeDocument/2006/relationships/hyperlink" Target="https://www.hacienda.gob.do/wp-content/uploads/2026/06/MFMP-2026-2030-Abril-2026-vf.pdf" TargetMode="External"/><Relationship Id="rId16" Type="http://schemas.openxmlformats.org/officeDocument/2006/relationships/hyperlink" Target="https://presidencia.gob.do/taxonomy/term/250" TargetMode="External"/><Relationship Id="rId17" Type="http://schemas.openxmlformats.org/officeDocument/2006/relationships/hyperlink" Target="https://www.infobae.com/republica-dominicana/2026/07/06/reforma-fiscal-de-republica-dominicana-no-corrige-la-baja-presion-tributaria-estructural-advierte-financiera/" TargetMode="External"/><Relationship Id="rId18" Type="http://schemas.openxmlformats.org/officeDocument/2006/relationships/hyperlink" Target="https://www.bancentral.gov.do/a/d/6480-bcrd-mantiene-su-tasa-de-politica-monetaria-en-525--anual" TargetMode="External"/><Relationship Id="rId19" Type="http://schemas.openxmlformats.org/officeDocument/2006/relationships/hyperlink" Target="https://www.bancentral.gov.do/a/d/2529" TargetMode="External"/><Relationship Id="rId20" Type="http://schemas.openxmlformats.org/officeDocument/2006/relationships/hyperlink" Target="https://elnacional.com.do/economia/sector-combustible-lidera-importaciones-rd-crecimiento-13-1-caer-ano-pasado_571751.html" TargetMode="External"/><Relationship Id="rId21" Type="http://schemas.openxmlformats.org/officeDocument/2006/relationships/hyperlink" Target="https://listindiario.com/puntos-de-vista/20260515/drenaje-divisas-choque-petrolero-sostener-crecimiento-pib-4_905783.html" TargetMode="External"/><Relationship Id="rId22" Type="http://schemas.openxmlformats.org/officeDocument/2006/relationships/hyperlink" Target="https://dr1.com/news/2026/06/15/remittances-to-the-dominican-republic-surge-to-us5-17-billion-in-first-five-months-of-2026/" TargetMode="External"/><Relationship Id="rId23" Type="http://schemas.openxmlformats.org/officeDocument/2006/relationships/hyperlink" Target="https://www.creditopublico.gob.do/english/home/news?codigo=0" TargetMode="External"/><Relationship Id="rId24" Type="http://schemas.openxmlformats.org/officeDocument/2006/relationships/hyperlink" Target="https://www.spglobal.com/ratings/en/regulatory/article/-/view/type/HTML/id/3515917" TargetMode="External"/><Relationship Id="rId25" Type="http://schemas.openxmlformats.org/officeDocument/2006/relationships/hyperlink" Target="https://disclosure.spglobal.com/ratings/en/regulatory/instrument-details/sectorCode/SOV/entityId/310323/issueId/1573020" TargetMode="External"/><Relationship Id="rId26" Type="http://schemas.openxmlformats.org/officeDocument/2006/relationships/hyperlink" Target="https://www.moodys.com/reports?region=Dominican_Republic" TargetMode="External"/><Relationship Id="rId27" Type="http://schemas.openxmlformats.org/officeDocument/2006/relationships/hyperlink" Target="https://www.riotimesonline.com/latam-country-risk-embi-q1-2026/" TargetMode="External"/><Relationship Id="rId28" Type="http://schemas.openxmlformats.org/officeDocument/2006/relationships/hyperlink" Target="https://www.bancentral.gov.do/a/d/2576-comunicados-de-politica-monetaria" TargetMode="External"/><Relationship Id="rId29" Type="http://schemas.openxmlformats.org/officeDocument/2006/relationships/hyperlink" Target="https://www.digepres.gob.do/" TargetMode="External"/><Relationship Id="rId30" Type="http://schemas.openxmlformats.org/officeDocument/2006/relationships/hyperlink" Target="https://www.creditopublico.gob.do/english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