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B63"/>
          <w:sz w:val="34"/>
          <w:szCs w:val="34"/>
        </w:rPr>
        <w:t xml:space="preserve">Dominican Republic: macro summary</w:t>
      </w:r>
    </w:p>
    <w:p>
      <w:pPr>
        <w:spacing w:after="160" w:before="0"/>
      </w:pPr>
      <w:r>
        <w:rPr>
          <w:rFonts w:ascii="Arial" w:cs="Arial" w:eastAsia="Arial" w:hAnsi="Arial"/>
          <w:color w:val="6B6B6B"/>
          <w:sz w:val="18"/>
          <w:szCs w:val="18"/>
        </w:rPr>
        <w:t xml:space="preserve">GDP, inflation, monetary policy, fiscal, external accounts and politics. Companion workbook: DR_macro_pack_2026-09.xlsx (all figures sourced there).</w:t>
      </w:r>
    </w:p>
    <w:p>
      <w:pPr>
        <w:pStyle w:val="Heading1"/>
        <w:spacing w:after="80" w:before="220"/>
      </w:pPr>
      <w:r>
        <w:rPr>
          <w:rFonts w:ascii="Arial" w:cs="Arial" w:eastAsia="Arial" w:hAnsi="Arial"/>
          <w:b/>
          <w:bCs/>
          <w:color w:val="1F3B63"/>
          <w:sz w:val="26"/>
          <w:szCs w:val="26"/>
        </w:rPr>
        <w:t xml:space="preserve">Bottom line</w:t>
      </w:r>
    </w:p>
    <w:p>
      <w:pPr>
        <w:pStyle w:val="ListParagraph"/>
        <w:numPr>
          <w:ilvl w:val="0"/>
          <w:numId w:val="2"/>
        </w:numPr>
        <w:spacing w:after="60"/>
      </w:pPr>
      <w:r>
        <w:rPr>
          <w:rFonts w:ascii="Arial" w:cs="Arial" w:eastAsia="Arial" w:hAnsi="Arial"/>
          <w:b/>
          <w:bCs/>
          <w:sz w:val="20"/>
          <w:szCs w:val="20"/>
        </w:rPr>
        <w:t xml:space="preserve">Growth has re-accelerated. </w:t>
      </w:r>
      <w:r>
        <w:rPr>
          <w:rFonts w:ascii="Arial" w:cs="Arial" w:eastAsia="Arial" w:hAnsi="Arial"/>
          <w:sz w:val="20"/>
          <w:szCs w:val="20"/>
        </w:rPr>
        <w:t xml:space="preserve">Activity grew 4.5% in January–July 2026 after 2.1% in 2025, led by construction (+8.1% in July), gold mining and tourism. BCRD now guides ~4.5% for the year; MHE and the IMF sit at 3.7–3.8%. Potential is 4.5–5%.</w:t>
      </w:r>
    </w:p>
    <w:p>
      <w:pPr>
        <w:pStyle w:val="ListParagraph"/>
        <w:numPr>
          <w:ilvl w:val="0"/>
          <w:numId w:val="2"/>
        </w:numPr>
        <w:spacing w:after="60"/>
      </w:pPr>
      <w:r>
        <w:rPr>
          <w:rFonts w:ascii="Arial" w:cs="Arial" w:eastAsia="Arial" w:hAnsi="Arial"/>
          <w:b/>
          <w:bCs/>
          <w:sz w:val="20"/>
          <w:szCs w:val="20"/>
        </w:rPr>
        <w:t xml:space="preserve">Inflation overshot on oil, not demand. </w:t>
      </w:r>
      <w:r>
        <w:rPr>
          <w:rFonts w:ascii="Arial" w:cs="Arial" w:eastAsia="Arial" w:hAnsi="Arial"/>
          <w:sz w:val="20"/>
          <w:szCs w:val="20"/>
        </w:rPr>
        <w:t xml:space="preserve">Headline left the 4%±1% band in April (Middle East conflict, fuel pass-through), peaked at 5.67% in June and eased to 5.47% in July. Core is inside the band at 4.96%. BCRD expects headline back in range in 4Q26.</w:t>
      </w:r>
    </w:p>
    <w:p>
      <w:pPr>
        <w:pStyle w:val="ListParagraph"/>
        <w:numPr>
          <w:ilvl w:val="0"/>
          <w:numId w:val="2"/>
        </w:numPr>
        <w:spacing w:after="60"/>
      </w:pPr>
      <w:r>
        <w:rPr>
          <w:rFonts w:ascii="Arial" w:cs="Arial" w:eastAsia="Arial" w:hAnsi="Arial"/>
          <w:b/>
          <w:bCs/>
          <w:sz w:val="20"/>
          <w:szCs w:val="20"/>
        </w:rPr>
        <w:t xml:space="preserve">BCRD is on hold at 5.25% </w:t>
      </w:r>
      <w:r>
        <w:rPr>
          <w:rFonts w:ascii="Arial" w:cs="Arial" w:eastAsia="Arial" w:hAnsi="Arial"/>
          <w:sz w:val="20"/>
          <w:szCs w:val="20"/>
        </w:rPr>
        <w:t xml:space="preserve">since November 2025 and has no reason to move: the ex-ante real rate is thin (~0.3pp over core, ~0.75pp over expected December inflation) but the peso is appreciating and credit is growing ~8%.</w:t>
      </w:r>
    </w:p>
    <w:p>
      <w:pPr>
        <w:pStyle w:val="ListParagraph"/>
        <w:numPr>
          <w:ilvl w:val="0"/>
          <w:numId w:val="2"/>
        </w:numPr>
        <w:spacing w:after="60"/>
      </w:pPr>
      <w:r>
        <w:rPr>
          <w:rFonts w:ascii="Arial" w:cs="Arial" w:eastAsia="Arial" w:hAnsi="Arial"/>
          <w:b/>
          <w:bCs/>
          <w:sz w:val="20"/>
          <w:szCs w:val="20"/>
        </w:rPr>
        <w:t xml:space="preserve">Fiscal is the weak leg, and interest is the binding constraint. </w:t>
      </w:r>
      <w:r>
        <w:rPr>
          <w:rFonts w:ascii="Arial" w:cs="Arial" w:eastAsia="Arial" w:hAnsi="Arial"/>
          <w:sz w:val="20"/>
          <w:szCs w:val="20"/>
        </w:rPr>
        <w:t xml:space="preserve">The central government ran a 3.6% of GDP deficit in 2025 with a small primary deficit. 2026 is budgeted at 3.1–3.2%. Interest absorbs 23% of revenue, the highest in Latin America after Mexico. Ley 30-26 (June) adds roughly 0.4–0.5% of GDP, mostly temporary.</w:t>
      </w:r>
    </w:p>
    <w:p>
      <w:pPr>
        <w:pStyle w:val="ListParagraph"/>
        <w:numPr>
          <w:ilvl w:val="0"/>
          <w:numId w:val="2"/>
        </w:numPr>
        <w:spacing w:after="60"/>
      </w:pPr>
      <w:r>
        <w:rPr>
          <w:rFonts w:ascii="Arial" w:cs="Arial" w:eastAsia="Arial" w:hAnsi="Arial"/>
          <w:b/>
          <w:bCs/>
          <w:sz w:val="20"/>
          <w:szCs w:val="20"/>
        </w:rPr>
        <w:t xml:space="preserve">External accounts are the strong leg. </w:t>
      </w:r>
      <w:r>
        <w:rPr>
          <w:rFonts w:ascii="Arial" w:cs="Arial" w:eastAsia="Arial" w:hAnsi="Arial"/>
          <w:sz w:val="20"/>
          <w:szCs w:val="20"/>
        </w:rPr>
        <w:t xml:space="preserve">Current-account deficit of ~1.2–1.5% of GDP is covered three times by FDI (~4% of GDP); reserves exceed US$15bn; tourism, remittances, gold exports and FDI all grew 7–17% in H1 2026. The peso is up 7–8% year-to-date, which is now a debate in itself.</w:t>
      </w:r>
    </w:p>
    <w:p>
      <w:pPr>
        <w:pStyle w:val="ListParagraph"/>
        <w:numPr>
          <w:ilvl w:val="0"/>
          <w:numId w:val="2"/>
        </w:numPr>
        <w:spacing w:after="60"/>
      </w:pPr>
      <w:r>
        <w:rPr>
          <w:rFonts w:ascii="Arial" w:cs="Arial" w:eastAsia="Arial" w:hAnsi="Arial"/>
          <w:b/>
          <w:bCs/>
          <w:sz w:val="20"/>
          <w:szCs w:val="20"/>
        </w:rPr>
        <w:t xml:space="preserve">Politics are stable through 2028. </w:t>
      </w:r>
      <w:r>
        <w:rPr>
          <w:rFonts w:ascii="Arial" w:cs="Arial" w:eastAsia="Arial" w:hAnsi="Arial"/>
          <w:sz w:val="20"/>
          <w:szCs w:val="20"/>
        </w:rPr>
        <w:t xml:space="preserve">Abinader (PRM) cannot run again; approval is ~50–58%. Succession polls favour David Collado (PRM) against Leonel or Omar Fernández (FP). The opposition is running an anti-tax platform, which caps appetite for a structural fiscal reform before the election.</w:t>
      </w:r>
    </w:p>
    <w:p>
      <w:pPr>
        <w:pStyle w:val="Heading1"/>
        <w:spacing w:after="80" w:before="220"/>
      </w:pPr>
      <w:r>
        <w:rPr>
          <w:rFonts w:ascii="Arial" w:cs="Arial" w:eastAsia="Arial" w:hAnsi="Arial"/>
          <w:b/>
          <w:bCs/>
          <w:color w:val="1F3B63"/>
          <w:sz w:val="26"/>
          <w:szCs w:val="26"/>
        </w:rPr>
        <w:t xml:space="preserve">Key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2000"/>
        <w:gridCol w:w="2560"/>
      </w:tblGrid>
      <w:tr>
        <w:trPr>
          <w:tblHeader/>
        </w:trPr>
        <w:tc>
          <w:tcPr>
            <w:tcW w:type="dxa" w:w="2600"/>
            <w:shd w:fill="F2F4F7" w:color="auto" w:val="clear"/>
            <w:tcMar>
              <w:top w:type="dxa" w:w="40"/>
              <w:left w:type="dxa" w:w="80"/>
              <w:bottom w:type="dxa" w:w="40"/>
              <w:right w:type="dxa" w:w="80"/>
            </w:tcMar>
          </w:tcPr>
          <w:p>
            <w:pPr>
              <w:spacing w:after="0"/>
              <w:jc w:val="left"/>
            </w:pPr>
            <w:r>
              <w:rPr>
                <w:rFonts w:ascii="Arial" w:cs="Arial" w:eastAsia="Arial" w:hAnsi="Arial"/>
                <w:b/>
                <w:bCs/>
                <w:sz w:val="17"/>
                <w:szCs w:val="17"/>
              </w:rPr>
              <w:t xml:space="preserve">Indicator</w:t>
            </w:r>
          </w:p>
        </w:tc>
        <w:tc>
          <w:tcPr>
            <w:tcW w:type="dxa" w:w="1100"/>
            <w:shd w:fill="F2F4F7" w:color="auto" w:val="clear"/>
            <w:tcMar>
              <w:top w:type="dxa" w:w="40"/>
              <w:left w:type="dxa" w:w="80"/>
              <w:bottom w:type="dxa" w:w="40"/>
              <w:right w:type="dxa" w:w="80"/>
            </w:tcMar>
          </w:tcPr>
          <w:p>
            <w:pPr>
              <w:spacing w:after="0"/>
              <w:jc w:val="left"/>
            </w:pPr>
            <w:r>
              <w:rPr>
                <w:rFonts w:ascii="Arial" w:cs="Arial" w:eastAsia="Arial" w:hAnsi="Arial"/>
                <w:b/>
                <w:bCs/>
                <w:sz w:val="17"/>
                <w:szCs w:val="17"/>
              </w:rPr>
              <w:t xml:space="preserve">2024</w:t>
            </w:r>
          </w:p>
        </w:tc>
        <w:tc>
          <w:tcPr>
            <w:tcW w:type="dxa" w:w="1100"/>
            <w:shd w:fill="F2F4F7" w:color="auto" w:val="clear"/>
            <w:tcMar>
              <w:top w:type="dxa" w:w="40"/>
              <w:left w:type="dxa" w:w="80"/>
              <w:bottom w:type="dxa" w:w="40"/>
              <w:right w:type="dxa" w:w="80"/>
            </w:tcMar>
          </w:tcPr>
          <w:p>
            <w:pPr>
              <w:spacing w:after="0"/>
              <w:jc w:val="left"/>
            </w:pPr>
            <w:r>
              <w:rPr>
                <w:rFonts w:ascii="Arial" w:cs="Arial" w:eastAsia="Arial" w:hAnsi="Arial"/>
                <w:b/>
                <w:bCs/>
                <w:sz w:val="17"/>
                <w:szCs w:val="17"/>
              </w:rPr>
              <w:t xml:space="preserve">2025</w:t>
            </w:r>
          </w:p>
        </w:tc>
        <w:tc>
          <w:tcPr>
            <w:tcW w:type="dxa" w:w="2000"/>
            <w:shd w:fill="F2F4F7" w:color="auto" w:val="clear"/>
            <w:tcMar>
              <w:top w:type="dxa" w:w="40"/>
              <w:left w:type="dxa" w:w="80"/>
              <w:bottom w:type="dxa" w:w="40"/>
              <w:right w:type="dxa" w:w="80"/>
            </w:tcMar>
          </w:tcPr>
          <w:p>
            <w:pPr>
              <w:spacing w:after="0"/>
              <w:jc w:val="left"/>
            </w:pPr>
            <w:r>
              <w:rPr>
                <w:rFonts w:ascii="Arial" w:cs="Arial" w:eastAsia="Arial" w:hAnsi="Arial"/>
                <w:b/>
                <w:bCs/>
                <w:sz w:val="17"/>
                <w:szCs w:val="17"/>
              </w:rPr>
              <w:t xml:space="preserve">2026 latest</w:t>
            </w:r>
          </w:p>
        </w:tc>
        <w:tc>
          <w:tcPr>
            <w:tcW w:type="dxa" w:w="2560"/>
            <w:shd w:fill="F2F4F7" w:color="auto" w:val="clear"/>
            <w:tcMar>
              <w:top w:type="dxa" w:w="40"/>
              <w:left w:type="dxa" w:w="80"/>
              <w:bottom w:type="dxa" w:w="40"/>
              <w:right w:type="dxa" w:w="80"/>
            </w:tcMar>
          </w:tcPr>
          <w:p>
            <w:pPr>
              <w:spacing w:after="0"/>
              <w:jc w:val="left"/>
            </w:pPr>
            <w:r>
              <w:rPr>
                <w:rFonts w:ascii="Arial" w:cs="Arial" w:eastAsia="Arial" w:hAnsi="Arial"/>
                <w:b/>
                <w:bCs/>
                <w:sz w:val="17"/>
                <w:szCs w:val="17"/>
              </w:rPr>
              <w:t xml:space="preserve">2026 outlook</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Real GDP, % y/y</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5.0</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2.1</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4.5 (Jan-Jul IMAE)</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4.5 BCRD / 3.75 MHE / 3.7 IMF</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Headline CPI, % y/y (Dec / latest)</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3.35</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4.95</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5.47 (Jul)</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back inside 4%±1% in 4Q26 (BCRD); 4.5 Dec (MHE)</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Core CPI, % y/y</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4.01</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4.85</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4.96 (Jul)</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inside band</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Policy rate (TPM), %</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5.75</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5.25</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5.25 (held 31-Aug)</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on hold</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Central govt balance, % GDP</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-3.1</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-3.6</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-3.24 budget (rev. Jul)</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-3.1 MFMP; -3.5 if cash carry-over treated as financing</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CG primary balance, % GDP</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+0.3</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-0.1</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n.a.</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+0.5 MFMP</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Interest / CG revenue, %</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20.7</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21.9</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n.a.</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23.1 (budget)</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SPNF debt, % GDP</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~47.6</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48.1</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48.2 (Jul, US$67.8bn)</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48.4 MFMP; consolidated incl. BCRD 59.5 (Jun)</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Current account, % GDP</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-3.1</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-1.2</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n.a.</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-1.3 BCRD / -1.5 IMF</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FDI, US$ bn</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4.5</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5.0</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3.3 (H1, +7.7%)</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&gt;5.3 BCRD</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Gross reserves, US$ bn</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13.4</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14.7</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&gt;15.0 (Aug)</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~11% GDP, ~5 months imports</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RD$/US$ (end-period, sell)</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60.94</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63.64</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~58.5 (peso +7-8% YTD)</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overvaluation debate</w:t>
            </w:r>
          </w:p>
        </w:tc>
      </w:tr>
      <w:tr>
        <w:trPr>
          <w:tblHeader w:val="false"/>
        </w:trPr>
        <w:tc>
          <w:tcPr>
            <w:tcW w:type="dxa" w:w="2600"/>
            <w:tcMar>
              <w:top w:type="dxa" w:w="40"/>
              <w:left w:type="dxa" w:w="80"/>
              <w:bottom w:type="dxa" w:w="40"/>
              <w:right w:type="dxa" w:w="80"/>
            </w:tcMar>
          </w:tcPr>
          <w:p>
            <w:pPr>
              <w:spacing w:after="0"/>
              <w:jc w:val="left"/>
            </w:pPr>
            <w:r>
              <w:rPr>
                <w:rFonts w:ascii="Arial" w:cs="Arial" w:eastAsia="Arial" w:hAnsi="Arial"/>
                <w:b/>
                <w:bCs/>
                <w:sz w:val="17"/>
                <w:szCs w:val="17"/>
              </w:rPr>
              <w:t xml:space="preserve">Ratings (Moody's / S&amp;P / Fitch)</w:t>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
            </w:r>
          </w:p>
        </w:tc>
        <w:tc>
          <w:tcPr>
            <w:tcW w:type="dxa" w:w="11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Ba2 stb / BB stb / BB- pos</w:t>
            </w:r>
          </w:p>
        </w:tc>
        <w:tc>
          <w:tcPr>
            <w:tcW w:type="dxa" w:w="2000"/>
            <w:tcMar>
              <w:top w:type="dxa" w:w="40"/>
              <w:left w:type="dxa" w:w="80"/>
              <w:bottom w:type="dxa" w:w="40"/>
              <w:right w:type="dxa" w:w="80"/>
            </w:tcMar>
          </w:tcPr>
          <w:p>
            <w:pPr>
              <w:spacing w:after="0"/>
              <w:jc w:val="right"/>
            </w:pPr>
            <w:r>
              <w:rPr>
                <w:rFonts w:ascii="Arial" w:cs="Arial" w:eastAsia="Arial" w:hAnsi="Arial"/>
                <w:b w:val="false"/>
                <w:bCs w:val="false"/>
                <w:sz w:val="17"/>
                <w:szCs w:val="17"/>
              </w:rPr>
              <w:t xml:space="preserve">Fitch outlook to Stable (Apr)</w:t>
            </w:r>
          </w:p>
        </w:tc>
        <w:tc>
          <w:tcPr>
            <w:tcW w:type="dxa" w:w="2560"/>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no upgrade path near-term</w:t>
            </w:r>
          </w:p>
        </w:tc>
      </w:tr>
    </w:tbl>
    <w:p>
      <w:pPr>
        <w:spacing w:after="60" w:before="0"/>
      </w:pPr>
      <w:r>
        <w:rPr>
          <w:rFonts w:ascii="Arial" w:cs="Arial" w:eastAsia="Arial" w:hAnsi="Arial"/>
          <w:i/>
          <w:iCs/>
          <w:color w:val="6B6B6B"/>
          <w:sz w:val="16"/>
          <w:szCs w:val="16"/>
        </w:rPr>
        <w:t xml:space="preserve">Sources: BCRD (Resultados preliminares 2025; IMAE, IPC and policy communiqués 2026), MHE Marco Fiscal de Mediano Plazo 2026–2030 (Apr-2026), Dirección General de Crédito Público (Jul-2026), IMF WEO Apr-2026 as cited by MHE, rating agencies. 2024 debt ratio and 2026 FX level are calculated, not official.</w:t>
      </w:r>
    </w:p>
    <w:p>
      <w:pPr>
        <w:pStyle w:val="Heading1"/>
        <w:spacing w:after="80" w:before="220"/>
      </w:pPr>
      <w:r>
        <w:rPr>
          <w:rFonts w:ascii="Arial" w:cs="Arial" w:eastAsia="Arial" w:hAnsi="Arial"/>
          <w:b/>
          <w:bCs/>
          <w:color w:val="1F3B63"/>
          <w:sz w:val="26"/>
          <w:szCs w:val="26"/>
        </w:rPr>
        <w:t xml:space="preserve">Real activity</w:t>
      </w:r>
    </w:p>
    <w:p>
      <w:pPr>
        <w:spacing w:after="100" w:before="0"/>
      </w:pPr>
      <w:r>
        <w:rPr>
          <w:rFonts w:ascii="Arial" w:cs="Arial" w:eastAsia="Arial" w:hAnsi="Arial"/>
          <w:sz w:val="20"/>
          <w:szCs w:val="20"/>
        </w:rPr>
        <w:t xml:space="preserve">2025 was a soft year: GDP grew 2.1% (5.0% in 2024) as global uncertainty and high real rates pushed private investment out — construction contracted 1.8%, local manufacturing grew 1.4%, and public capital spending under-executed in the first half. Financial services (+7.5%), mining (+4.6%, gold output +7.7%) and agriculture (+3.7%) carried the year; tourism slowed to +3.5% with hotel occupancy down 1.4pp to 75%.</w:t>
      </w:r>
    </w:p>
    <w:p>
      <w:pPr>
        <w:spacing w:after="100" w:before="0"/>
      </w:pPr>
      <w:r>
        <w:rPr>
          <w:rFonts w:ascii="Arial" w:cs="Arial" w:eastAsia="Arial" w:hAnsi="Arial"/>
          <w:sz w:val="20"/>
          <w:szCs w:val="20"/>
        </w:rPr>
        <w:t xml:space="preserve">2026 has reversed that. The monthly activity index (IMAE) averaged 4.1% in 1Q, 5.0% in 2Q (June 6.4%, the strongest print of the year) and 4.6% in July, for 4.5% year-to-date. Construction is the swing factor (+8.1% in July on private projects plus a higher public investment execution rate), supported by credit to the sector growing 20–26%. Tourism receipts rose 15.3% in H1 on arrivals up 7.9% (March was the first month above 900,000 air passengers). Mining is volatile month to month (June +18%, July –16%) because of extraction timing at the main gold mine; the trend is positive given gold near US$4,600–4,900/oz.</w:t>
      </w:r>
    </w:p>
    <w:p>
      <w:pPr>
        <w:spacing w:after="100" w:before="0"/>
      </w:pPr>
      <w:r>
        <w:rPr>
          <w:rFonts w:ascii="Arial" w:cs="Arial" w:eastAsia="Arial" w:hAnsi="Arial"/>
          <w:sz w:val="20"/>
          <w:szCs w:val="20"/>
        </w:rPr>
        <w:t xml:space="preserve">Forecasts: BCRD ~4.5%; MHE 3.75% (March framework, before the strong 2Q); IMF 3.7% for 2026 and 4.4% for 2027. MHE projects convergence to 5.0% from 2027. The main downside is the oil shock's persistence; the upside is that H1 data already run ahead of the official frameworks.</w:t>
      </w:r>
    </w:p>
    <w:p>
      <w:pPr>
        <w:pStyle w:val="Heading1"/>
        <w:spacing w:after="80" w:before="220"/>
      </w:pPr>
      <w:r>
        <w:rPr>
          <w:rFonts w:ascii="Arial" w:cs="Arial" w:eastAsia="Arial" w:hAnsi="Arial"/>
          <w:b/>
          <w:bCs/>
          <w:color w:val="1F3B63"/>
          <w:sz w:val="26"/>
          <w:szCs w:val="26"/>
        </w:rPr>
        <w:t xml:space="preserve">Prices</w:t>
      </w:r>
    </w:p>
    <w:p>
      <w:pPr>
        <w:spacing w:after="100" w:before="0"/>
      </w:pPr>
      <w:r>
        <w:rPr>
          <w:rFonts w:ascii="Arial" w:cs="Arial" w:eastAsia="Arial" w:hAnsi="Arial"/>
          <w:sz w:val="20"/>
          <w:szCs w:val="20"/>
        </w:rPr>
        <w:t xml:space="preserve">Inflation closed 2025 at 4.95% (32 consecutive months inside the band), pushed to the top of the range by a food shock from storm Melissa in 4Q (food +8.2% for the year, 43% of headline). In 2026 the driver switched to fuel: after the Middle East conflict lifted WTI above US$90 in March, transport prices rose 2.2% in May alone and headline reached 5.11% in April, 5.35% in May and 5.67% in June, above the band for the first time since May 2023.</w:t>
      </w:r>
    </w:p>
    <w:p>
      <w:pPr>
        <w:spacing w:after="100" w:before="0"/>
      </w:pPr>
      <w:r>
        <w:rPr>
          <w:rFonts w:ascii="Arial" w:cs="Arial" w:eastAsia="Arial" w:hAnsi="Arial"/>
          <w:sz w:val="20"/>
          <w:szCs w:val="20"/>
        </w:rPr>
        <w:t xml:space="preserve">July marked the turn: monthly CPI slowed to 0.19%, transport fell 0.14% on government fuel price cuts, tradables fell 0.11% (peso appreciation lowered car prices), and headline eased to 5.47%. Core has stayed inside the band throughout (4.76% in February, 4.96% in June–July), which is why BCRD reads the episode as a supply shock. Its models put headline back inside 4%±1% in 4Q26; MHE projects 5.0% average and 4.5% December. Risk: the government is partially absorbing refined product prices through subsidies, so the fiscal cost, not the CPI, is where a prolonged oil shock would show up first.</w:t>
      </w:r>
    </w:p>
    <w:p>
      <w:pPr>
        <w:pStyle w:val="Heading1"/>
        <w:spacing w:after="80" w:before="220"/>
      </w:pPr>
      <w:r>
        <w:rPr>
          <w:rFonts w:ascii="Arial" w:cs="Arial" w:eastAsia="Arial" w:hAnsi="Arial"/>
          <w:b/>
          <w:bCs/>
          <w:color w:val="1F3B63"/>
          <w:sz w:val="26"/>
          <w:szCs w:val="26"/>
        </w:rPr>
        <w:t xml:space="preserve">Monetary policy</w:t>
      </w:r>
    </w:p>
    <w:p>
      <w:pPr>
        <w:spacing w:after="100" w:before="0"/>
      </w:pPr>
      <w:r>
        <w:rPr>
          <w:rFonts w:ascii="Arial" w:cs="Arial" w:eastAsia="Arial" w:hAnsi="Arial"/>
          <w:sz w:val="20"/>
          <w:szCs w:val="20"/>
        </w:rPr>
        <w:t xml:space="preserve">BCRD cut 50bp in two steps at its September and October 2025 meetings (effective October and November) to 5.25%, complemented by an RD$81bn liquidity programme approved in June 2025, and has held since. The August 31 communiqué kept the corridor unchanged (repo 5.75%, overnight 4.50%), cited the strength of domestic activity and Middle East uncertainty, and guided inflation convergence by year-end. Transmission has worked: interbank rates fell 635bp from June to December 2025 (to 7.92%), bank lending rates 177bp to 13.28%, and private credit in pesos is growing ~8%.</w:t>
      </w:r>
    </w:p>
    <w:p>
      <w:pPr>
        <w:spacing w:after="100" w:before="0"/>
      </w:pPr>
      <w:r>
        <w:rPr>
          <w:rFonts w:ascii="Arial" w:cs="Arial" w:eastAsia="Arial" w:hAnsi="Arial"/>
          <w:sz w:val="20"/>
          <w:szCs w:val="20"/>
        </w:rPr>
        <w:t xml:space="preserve">The stance is neutral-to-mildly-accommodative. Against core, the real policy rate is roughly +0.3pp; against expected December inflation, +0.75pp; MHE's own financial-conditions index turned negative in 4Q25. The TPM–Fed funds spread is ~150bp, so the peso's strength is fundamentals- and USD-weakness-driven rather than carry-driven. We see no cut before headline is back in band (4Q26 at the earliest) and no hike unless core drifts above 5%. Governor Valdez Albizu was ratified for two more years on August 19 (Decreto 575-26), removing any leadership uncertainty.</w:t>
      </w:r>
    </w:p>
    <w:p>
      <w:pPr>
        <w:pStyle w:val="Heading1"/>
        <w:spacing w:after="80" w:before="220"/>
      </w:pPr>
      <w:r>
        <w:rPr>
          <w:rFonts w:ascii="Arial" w:cs="Arial" w:eastAsia="Arial" w:hAnsi="Arial"/>
          <w:b/>
          <w:bCs/>
          <w:color w:val="1F3B63"/>
          <w:sz w:val="26"/>
          <w:szCs w:val="26"/>
        </w:rPr>
        <w:t xml:space="preserve">Fiscal</w:t>
      </w:r>
    </w:p>
    <w:p>
      <w:pPr>
        <w:spacing w:after="100" w:before="0"/>
      </w:pPr>
      <w:r>
        <w:rPr>
          <w:rFonts w:ascii="Arial" w:cs="Arial" w:eastAsia="Arial" w:hAnsi="Arial"/>
          <w:sz w:val="20"/>
          <w:szCs w:val="20"/>
        </w:rPr>
        <w:t xml:space="preserve">2025 outturn (central government, accrual): revenue RD$1,246bn (15.8% of GDP, +2.8%), outlays RD$1,539bn (19.5%, +7.2%), deficit RD$284bn or 3.6% of GDP, versus 3.1% in 2024. Revenue came in 2.4% below the reformulated budget (weaker ITBIS and excises, transfers that did not materialise) but was rescued by gold-related mining taxes RD$27bn above plan. Interest rose 8.8% to RD$273bn (3.5% of GDP, 21.9% of revenue). Public investment rose 17.8%. The primary balance slipped to a small deficit (–0.1% of GDP) from +0.3%. Including the rest of the non-financial public sector, the SPNF deficit was 3.3%.</w:t>
      </w:r>
    </w:p>
    <w:p>
      <w:pPr>
        <w:spacing w:after="100" w:before="0"/>
      </w:pPr>
      <w:r>
        <w:rPr>
          <w:rFonts w:ascii="Arial" w:cs="Arial" w:eastAsia="Arial" w:hAnsi="Arial"/>
          <w:sz w:val="20"/>
          <w:szCs w:val="20"/>
        </w:rPr>
        <w:t xml:space="preserve">2026: the original budget (Ley 99-25) targets a 3.1% deficit with a 0.5% primary surplus, interest at 3.6% of GDP (23% of revenue), and gross financing needs of 4.6% of GDP. Financing was front-loaded with a US$2.75bn Eurobond in February (8-year at 5.75%, 12.25-year at 6.15%, 2.6x covered). Two policy changes followed the oil shock. Ley 30-26 (promulgated June 18, passed under urgent procedure over opposition objections) raises corporate income tax to 30% for three years for firms with revenue above RD$1bn, introduces a 10% capital gains tax on real estate sales by individuals, higher gambling levies and a US$30 exit tax, alongside a tax amnesty, a new personal income tax scale from 2027 and relief for SMEs. Estimated yield: 0.4–0.5% of GDP, largely temporary. In July Congress then approved a budget modification adding RD$41bn of spending (public works, agriculture, housing, subsidies) plus US$465mn of new loans. MHE says the deficit target is unchanged at RD$280.6bn (3.24% of GDP) because the additions are funded by Ley 30-26 revenue and RD$21bn of 2025 cash carry-over; under GFSM conventions the carry-over is financing, not revenue, which would put the deficit at ~3.5%.</w:t>
      </w:r>
    </w:p>
    <w:p>
      <w:pPr>
        <w:spacing w:after="100" w:before="0"/>
      </w:pPr>
      <w:r>
        <w:rPr>
          <w:rFonts w:ascii="Arial" w:cs="Arial" w:eastAsia="Arial" w:hAnsi="Arial"/>
          <w:sz w:val="20"/>
          <w:szCs w:val="20"/>
        </w:rPr>
        <w:t xml:space="preserve">Debt: SPNF debt was US$67.8bn or 48.2% of GDP at end-July (71% external, bonds 57% of external), flat versus 48.1% at end-2025; peso appreciation is holding the ratio down. Adding BCRD's own debt (11.7% of GDP, a legacy of the 2003 banking crisis), consolidated public debt is 59.5%. MHE's medium-term framework projects SPNF debt at 48.4% in 2026 and 48.9% in 2030 — a flat path that relies on the primary surplus rising to 1.7% of GDP by 2030 with revenue stuck at 15.5% of GDP. The Fiscal Responsibility Law (35-24) caps primary spending growth at projected inflation plus 3pp (met in 2025) and targets general government debt of 40% of GDP by 2035. The gap between that target and a 48–49% SPNF path is the structural fiscal question for the next administration; the interest burden, not the debt stock, is what constrains the rating.</w:t>
      </w:r>
    </w:p>
    <w:p>
      <w:pPr>
        <w:pStyle w:val="Heading1"/>
        <w:spacing w:after="80" w:before="220"/>
      </w:pPr>
      <w:r>
        <w:rPr>
          <w:rFonts w:ascii="Arial" w:cs="Arial" w:eastAsia="Arial" w:hAnsi="Arial"/>
          <w:b/>
          <w:bCs/>
          <w:color w:val="1F3B63"/>
          <w:sz w:val="26"/>
          <w:szCs w:val="26"/>
        </w:rPr>
        <w:t xml:space="preserve">External accounts</w:t>
      </w:r>
    </w:p>
    <w:p>
      <w:pPr>
        <w:spacing w:after="100" w:before="0"/>
      </w:pPr>
      <w:r>
        <w:rPr>
          <w:rFonts w:ascii="Arial" w:cs="Arial" w:eastAsia="Arial" w:hAnsi="Arial"/>
          <w:sz w:val="20"/>
          <w:szCs w:val="20"/>
        </w:rPr>
        <w:t xml:space="preserve">The current account deficit narrowed to US$1.5bn (1.2% of GDP) in 2025 from US$3.8bn (3.1%): goods exports rose 14.4% to US$15.9bn (gold +61%, national exports +36%), imports were flat, remittances rose 10.3% to US$11.9bn and tourism receipts 3.2% to US$11.3bn. The primary income deficit widened to US$7.8bn (6.1% of GDP) — the structural drain from a growing FDI stock and US$2.8bn of public external interest — so the improvement is a trade and transfers story, not an income story. FDI reached a record US$5.0bn (+11.3%, 3.9% of GDP), covering the deficit more than three times; portfolio inflows of US$3.5bn reflect sovereign issuance.</w:t>
      </w:r>
    </w:p>
    <w:p>
      <w:pPr>
        <w:spacing w:after="100" w:before="0"/>
      </w:pPr>
      <w:r>
        <w:rPr>
          <w:rFonts w:ascii="Arial" w:cs="Arial" w:eastAsia="Arial" w:hAnsi="Arial"/>
          <w:sz w:val="20"/>
          <w:szCs w:val="20"/>
        </w:rPr>
        <w:t xml:space="preserve">H1 2026 continued the pattern with higher growth rates: exports +16.6% to US$8.7bn (gold +69%), tourism +15.3% to US$6.7bn, remittances +6.7% to US$6.3bn (after a weak +1.9% in 1Q), FDI +7.7% to US$3.3bn (energy 28%, tourism 20%, real estate and mining 12% each). Total FX inflows exceeded US$26.5bn, US$2.8bn more than a year earlier. Gross reserves rose from US$14.7bn at end-2025 (11.5% of GDP, 5.6 months of imports) to above US$15bn in August; liquid reserves are around half of gross, worth remembering when quoting coverage. BCRD projects a 2026 deficit of ~1.3% of GDP; the IMF has 1.5% given the higher oil bill (2025 oil imports were US$4.6bn at ~US$65 WTI).</w:t>
      </w:r>
    </w:p>
    <w:p>
      <w:pPr>
        <w:spacing w:after="100" w:before="0"/>
      </w:pPr>
      <w:r>
        <w:rPr>
          <w:rFonts w:ascii="Arial" w:cs="Arial" w:eastAsia="Arial" w:hAnsi="Arial"/>
          <w:sz w:val="20"/>
          <w:szCs w:val="20"/>
        </w:rPr>
        <w:t xml:space="preserve">The exchange rate is the live debate. The peso ended 2025 at RD$63.09/US$ (buy) after a 3.2% depreciation, then appreciated 4.7% by April, 8% by July and more than 7% by end-August — to roughly RD$58.5. Analysts have called this overvaluation; BCRD's reply (August 5) is that the dollar has fallen 5.3% since April 2025, FX supply exceeds demand from fundamentals, and its own dollar sales have been minimal. Both are partly right: the flows are real, but a 6.5% real appreciation in eight months compresses free-zone and tourism margins, and MHE's March framework still assumes RD$63.95 average for 2026. Reversal risk sits in a prolonged oil shock, a US labour-market slowdown feeding remittances (over 80% US-sourced), or portfolio outflows; the buffer is reserves and a floating rate that BCRD is visibly willing to let move.</w:t>
      </w:r>
    </w:p>
    <w:p>
      <w:pPr>
        <w:pStyle w:val="Heading1"/>
        <w:spacing w:after="80" w:before="220"/>
      </w:pPr>
      <w:r>
        <w:rPr>
          <w:rFonts w:ascii="Arial" w:cs="Arial" w:eastAsia="Arial" w:hAnsi="Arial"/>
          <w:b/>
          <w:bCs/>
          <w:color w:val="1F3B63"/>
          <w:sz w:val="26"/>
          <w:szCs w:val="26"/>
        </w:rPr>
        <w:t xml:space="preserve">Politics</w:t>
      </w:r>
    </w:p>
    <w:p>
      <w:pPr>
        <w:spacing w:after="100" w:before="0"/>
      </w:pPr>
      <w:r>
        <w:rPr>
          <w:rFonts w:ascii="Arial" w:cs="Arial" w:eastAsia="Arial" w:hAnsi="Arial"/>
          <w:sz w:val="20"/>
          <w:szCs w:val="20"/>
        </w:rPr>
        <w:t xml:space="preserve">President Luis Abinader (PRM) won re-election in May 2024 in the first round with 57% and is in his second and final term to August 2028; the 2024 constitutional reform locked the two-term limit. PRM and allies control both chambers, which is why Ley 30-26 and the July budget modification passed under urgent procedure over Fuerza del Pueblo (FP) objections. Approval is holding around 50–58%: ACD Media (August) has the government at 51% approve / 47% disapprove and Abinader personally at 50/48; CID Latinoamérica (May) had 58/39. Voters rate ministers worse than the president. A cabinet reshuffle was announced in August.</w:t>
      </w:r>
    </w:p>
    <w:p>
      <w:pPr>
        <w:spacing w:after="100" w:before="0"/>
      </w:pPr>
      <w:r>
        <w:rPr>
          <w:rFonts w:ascii="Arial" w:cs="Arial" w:eastAsia="Arial" w:hAnsi="Arial"/>
          <w:sz w:val="20"/>
          <w:szCs w:val="20"/>
        </w:rPr>
        <w:t xml:space="preserve">2028 succession is already visible. Within PRM, Tourism Minister David Collado leads Santo Domingo mayor Carolina Mejía 62–21 in CID's internal poll. In FP, former president Leonel Fernández leads his son Omar (senator for the Distrito Nacional) 52–42; the PLD (Gonzalo Castillo, Abel Martínez) is third. Party sympathy runs PRM 32%, FP 27%, PLD 21%. FP's platform is anti-tax (it called for the withdrawal of the Ley 30-26 revenue measures, full salary indexation at the RD$52,000 threshold and a budget reformulation) and questions execution of financed projects such as the border wall. Policy continuity risk under either main party is low; the medium-term gap is the depth of fiscal reform — the October 2024 structural reform attempt was withdrawn, and the 2026 package is a temporary substitute. The next markers are the 2027 budget submission (October 2026), the first year of the new personal income tax scale (2027), and party primaries in 2027.</w:t>
      </w:r>
    </w:p>
    <w:p>
      <w:pPr>
        <w:pStyle w:val="Heading1"/>
        <w:spacing w:after="80" w:before="220"/>
      </w:pPr>
      <w:r>
        <w:rPr>
          <w:rFonts w:ascii="Arial" w:cs="Arial" w:eastAsia="Arial" w:hAnsi="Arial"/>
          <w:b/>
          <w:bCs/>
          <w:color w:val="1F3B63"/>
          <w:sz w:val="26"/>
          <w:szCs w:val="26"/>
        </w:rPr>
        <w:t xml:space="preserve">What we are watching</w:t>
      </w:r>
    </w:p>
    <w:p>
      <w:pPr>
        <w:pStyle w:val="ListParagraph"/>
        <w:numPr>
          <w:ilvl w:val="0"/>
          <w:numId w:val="2"/>
        </w:numPr>
        <w:spacing w:after="60"/>
      </w:pPr>
      <w:r>
        <w:rPr>
          <w:rFonts w:ascii="Arial" w:cs="Arial" w:eastAsia="Arial" w:hAnsi="Arial"/>
          <w:b/>
          <w:bCs/>
          <w:sz w:val="20"/>
          <w:szCs w:val="20"/>
        </w:rPr>
        <w:t xml:space="preserve">Oil: </w:t>
      </w:r>
      <w:r>
        <w:rPr>
          <w:rFonts w:ascii="Arial" w:cs="Arial" w:eastAsia="Arial" w:hAnsi="Arial"/>
          <w:sz w:val="20"/>
          <w:szCs w:val="20"/>
        </w:rPr>
        <w:t xml:space="preserve">WTI above US$80 through 4Q keeps headline above band into 2027 and raises the subsidy bill; MHE's framework assumes US$81 average for 2026, falling to US$73 in 2027.</w:t>
      </w:r>
    </w:p>
    <w:p>
      <w:pPr>
        <w:pStyle w:val="ListParagraph"/>
        <w:numPr>
          <w:ilvl w:val="0"/>
          <w:numId w:val="2"/>
        </w:numPr>
        <w:spacing w:after="60"/>
      </w:pPr>
      <w:r>
        <w:rPr>
          <w:rFonts w:ascii="Arial" w:cs="Arial" w:eastAsia="Arial" w:hAnsi="Arial"/>
          <w:b/>
          <w:bCs/>
          <w:sz w:val="20"/>
          <w:szCs w:val="20"/>
        </w:rPr>
        <w:t xml:space="preserve">Peso: </w:t>
      </w:r>
      <w:r>
        <w:rPr>
          <w:rFonts w:ascii="Arial" w:cs="Arial" w:eastAsia="Arial" w:hAnsi="Arial"/>
          <w:sz w:val="20"/>
          <w:szCs w:val="20"/>
        </w:rPr>
        <w:t xml:space="preserve">a move back towards RD$60–61 would be orderly; the risk case is a disorderly reversal driven by remittance or portfolio flows. BCRD's reserve accumulation has been passive, so the buffer is not being actively built at these levels.</w:t>
      </w:r>
    </w:p>
    <w:p>
      <w:pPr>
        <w:pStyle w:val="ListParagraph"/>
        <w:numPr>
          <w:ilvl w:val="0"/>
          <w:numId w:val="2"/>
        </w:numPr>
        <w:spacing w:after="60"/>
      </w:pPr>
      <w:r>
        <w:rPr>
          <w:rFonts w:ascii="Arial" w:cs="Arial" w:eastAsia="Arial" w:hAnsi="Arial"/>
          <w:b/>
          <w:bCs/>
          <w:sz w:val="20"/>
          <w:szCs w:val="20"/>
        </w:rPr>
        <w:t xml:space="preserve">Fiscal execution: </w:t>
      </w:r>
      <w:r>
        <w:rPr>
          <w:rFonts w:ascii="Arial" w:cs="Arial" w:eastAsia="Arial" w:hAnsi="Arial"/>
          <w:sz w:val="20"/>
          <w:szCs w:val="20"/>
        </w:rPr>
        <w:t xml:space="preserve">whether the 2026 deficit lands at 3.2% or 3.5% depends on Ley 30-26 yield (MHE booked RD$19.8bn, ~0.23% of GDP, against external estimates of 0.4–0.5%) and on interest, which press reports put at RD$362.6bn post-modification versus RD$310bn in the April framework.</w:t>
      </w:r>
    </w:p>
    <w:p>
      <w:pPr>
        <w:pStyle w:val="ListParagraph"/>
        <w:numPr>
          <w:ilvl w:val="0"/>
          <w:numId w:val="2"/>
        </w:numPr>
        <w:spacing w:after="60"/>
      </w:pPr>
      <w:r>
        <w:rPr>
          <w:rFonts w:ascii="Arial" w:cs="Arial" w:eastAsia="Arial" w:hAnsi="Arial"/>
          <w:b/>
          <w:bCs/>
          <w:sz w:val="20"/>
          <w:szCs w:val="20"/>
        </w:rPr>
        <w:t xml:space="preserve">Ratings: </w:t>
      </w:r>
      <w:r>
        <w:rPr>
          <w:rFonts w:ascii="Arial" w:cs="Arial" w:eastAsia="Arial" w:hAnsi="Arial"/>
          <w:sz w:val="20"/>
          <w:szCs w:val="20"/>
        </w:rPr>
        <w:t xml:space="preserve">Fitch's April move to Stable removed the upgrade path; a Moody's or S&amp;P positive action would require a credible plan to lift revenue above 15.5% of GDP or lower interest/revenue below ~20%. Neither is in the 2026 agenda.</w:t>
      </w:r>
    </w:p>
    <w:p>
      <w:pPr>
        <w:pStyle w:val="ListParagraph"/>
        <w:numPr>
          <w:ilvl w:val="0"/>
          <w:numId w:val="2"/>
        </w:numPr>
        <w:spacing w:after="60"/>
      </w:pPr>
      <w:r>
        <w:rPr>
          <w:rFonts w:ascii="Arial" w:cs="Arial" w:eastAsia="Arial" w:hAnsi="Arial"/>
          <w:b/>
          <w:bCs/>
          <w:sz w:val="20"/>
          <w:szCs w:val="20"/>
        </w:rPr>
        <w:t xml:space="preserve">2027 budget (October): </w:t>
      </w:r>
      <w:r>
        <w:rPr>
          <w:rFonts w:ascii="Arial" w:cs="Arial" w:eastAsia="Arial" w:hAnsi="Arial"/>
          <w:sz w:val="20"/>
          <w:szCs w:val="20"/>
        </w:rPr>
        <w:t xml:space="preserve">first real test of the MFMP path (deficit 3.0%, primary +0.7%) against pre-electoral spending pressure.</w:t>
      </w:r>
    </w:p>
    <w:p>
      <w:pPr>
        <w:spacing w:after="60" w:before="0"/>
      </w:pPr>
      <w:r>
        <w:rPr>
          <w:rFonts w:ascii="Arial" w:cs="Arial" w:eastAsia="Arial" w:hAnsi="Arial"/>
          <w:i/>
          <w:iCs/>
          <w:color w:val="6B6B6B"/>
          <w:sz w:val="16"/>
          <w:szCs w:val="16"/>
        </w:rPr>
        <w:t xml:space="preserve">Items flagged for verification before client distribution are listed on the 'Sources' tab of the workbook (2024 TPM decision dates, end-August reserves, Bloomberg spot FX, missing 2026 core CPI months, DGCP Dec-2024 debt).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color w:val="6B6B6B"/>
        <w:sz w:val="16"/>
        <w:szCs w:val="16"/>
      </w:rPr>
      <w:t xml:space="preserve">Sovereign Research | Dominican Republic macro summary | 1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2026-09-01T12:38:56.008Z</dcterms:created>
  <dcterms:modified xsi:type="dcterms:W3CDTF">2026-09-01T12:38:56.020Z</dcterms:modified>
</cp:coreProperties>
</file>

<file path=docProps/custom.xml><?xml version="1.0" encoding="utf-8"?>
<Properties xmlns="http://schemas.openxmlformats.org/officeDocument/2006/custom-properties" xmlns:vt="http://schemas.openxmlformats.org/officeDocument/2006/docPropsVTypes"/>
</file>