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8102E"/>
          <w:spacing w:val="40"/>
          <w:sz w:val="18"/>
          <w:szCs w:val="18"/>
        </w:rPr>
        <w:t xml:space="preserve">COMPENSATION ALIGNMENT REQUEST — SUPPORTING EVIDENCE</w:t>
      </w:r>
    </w:p>
    <w:p>
      <w:pPr>
        <w:spacing w:after="100"/>
      </w:pPr>
      <w:r>
        <w:rPr>
          <w:rFonts w:ascii="Cambria" w:cs="Cambria" w:eastAsia="Cambria" w:hAnsi="Cambria"/>
          <w:b/>
          <w:bCs/>
          <w:color w:val="1B2A3A"/>
          <w:sz w:val="52"/>
          <w:szCs w:val="52"/>
        </w:rPr>
        <w:t xml:space="preserve">What UBS pays for this seat</w:t>
      </w:r>
    </w:p>
    <w:p>
      <w:pPr>
        <w:spacing w:after="120"/>
      </w:pPr>
      <w:r>
        <w:rPr>
          <w:rFonts w:ascii="Calibri" w:cs="Calibri" w:eastAsia="Calibri" w:hAnsi="Calibri"/>
          <w:color w:val="6A7179"/>
          <w:sz w:val="20"/>
          <w:szCs w:val="20"/>
        </w:rPr>
        <w:t xml:space="preserve">Alberto Rojas · Senior Emerging Markets Strategist, Executive Director · CIO Americas · September 2026</w:t>
      </w:r>
    </w:p>
    <w:p>
      <w:pPr>
        <w:spacing w:after="160"/>
      </w:pPr>
    </w:p>
    <w:p>
      <w:pPr>
        <w:pStyle w:val="Heading1"/>
        <w:spacing w:after="160" w:before="360"/>
      </w:pPr>
      <w:r>
        <w:rPr>
          <w:rFonts w:ascii="Cambria" w:cs="Cambria" w:eastAsia="Cambria" w:hAnsi="Cambria"/>
          <w:b/>
          <w:bCs/>
          <w:color w:val="1B2A3A"/>
          <w:sz w:val="32"/>
          <w:szCs w:val="32"/>
        </w:rPr>
        <w:t xml:space="preserve">1. The three facts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4CA" w:sz="4"/>
              <w:left w:val="single" w:color="D9D4CA" w:sz="4"/>
              <w:bottom w:val="single" w:color="D9D4CA" w:sz="4"/>
              <w:right w:val="single" w:color="D9D4CA" w:sz="4"/>
            </w:tcBorders>
            <w:shd w:fill="F2F0EB" w:color="auto" w:val="clear"/>
            <w:tcMar>
              <w:top w:type="dxa" w:w="160"/>
              <w:left w:type="dxa" w:w="220"/>
              <w:bottom w:type="dxa" w:w="160"/>
              <w:right w:type="dxa" w:w="220"/>
            </w:tcMar>
          </w:tcPr>
          <w:p>
            <w:r>
              <w:rPr>
                <w:rFonts w:ascii="Calibri" w:cs="Calibri" w:eastAsia="Calibri" w:hAnsi="Calibri"/>
                <w:b/>
                <w:bCs/>
                <w:color w:val="6A7179"/>
                <w:sz w:val="17"/>
                <w:szCs w:val="17"/>
              </w:rPr>
              <w:t xml:space="preserve">UBS DOL FILING · FEBRUARY 2026 · CASE I-200-26047-642808</w:t>
            </w:r>
          </w:p>
          <w:p>
            <w:r>
              <w:rPr>
                <w:rFonts w:ascii="Cambria" w:cs="Cambria" w:eastAsia="Cambria" w:hAnsi="Cambria"/>
                <w:b/>
                <w:bCs/>
                <w:color w:val="C8102E"/>
                <w:sz w:val="56"/>
                <w:szCs w:val="56"/>
              </w:rPr>
              <w:t xml:space="preserve">$175,000</w:t>
            </w:r>
          </w:p>
          <w:p>
            <w:r>
              <w:rPr>
                <w:rFonts w:ascii="Calibri" w:cs="Calibri" w:eastAsia="Calibri" w:hAnsi="Calibri"/>
                <w:color w:val="1B2A3A"/>
                <w:sz w:val="20"/>
                <w:szCs w:val="20"/>
              </w:rPr>
              <w:t xml:space="preserve">Base salary UBS attested for a Director, Emerging Markets Strategist, New York — one rank below Executive Director, in my own specialty. My ED base is $180,000. The difference is $5,000 (2.9%).</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4CA" w:sz="4"/>
              <w:left w:val="single" w:color="D9D4CA" w:sz="4"/>
              <w:bottom w:val="single" w:color="D9D4CA" w:sz="4"/>
              <w:right w:val="single" w:color="D9D4CA" w:sz="4"/>
            </w:tcBorders>
            <w:shd w:fill="F2F0EB" w:color="auto" w:val="clear"/>
            <w:tcMar>
              <w:top w:type="dxa" w:w="160"/>
              <w:left w:type="dxa" w:w="220"/>
              <w:bottom w:type="dxa" w:w="160"/>
              <w:right w:type="dxa" w:w="220"/>
            </w:tcMar>
          </w:tcPr>
          <w:p>
            <w:r>
              <w:rPr>
                <w:rFonts w:ascii="Calibri" w:cs="Calibri" w:eastAsia="Calibri" w:hAnsi="Calibri"/>
                <w:b/>
                <w:bCs/>
                <w:color w:val="6A7179"/>
                <w:sz w:val="17"/>
                <w:szCs w:val="17"/>
              </w:rPr>
              <w:t xml:space="preserve">UBS DOL FILING · DECEMBER 2020 · CASE I-200-20356-972064</w:t>
            </w:r>
          </w:p>
          <w:p>
            <w:r>
              <w:rPr>
                <w:rFonts w:ascii="Cambria" w:cs="Cambria" w:eastAsia="Cambria" w:hAnsi="Cambria"/>
                <w:b/>
                <w:bCs/>
                <w:color w:val="C8102E"/>
                <w:sz w:val="56"/>
                <w:szCs w:val="56"/>
              </w:rPr>
              <w:t xml:space="preserve">$250,000</w:t>
            </w:r>
          </w:p>
          <w:p>
            <w:r>
              <w:rPr>
                <w:rFonts w:ascii="Calibri" w:cs="Calibri" w:eastAsia="Calibri" w:hAnsi="Calibri"/>
                <w:color w:val="1B2A3A"/>
                <w:sz w:val="20"/>
                <w:szCs w:val="20"/>
              </w:rPr>
              <w:t xml:space="preserve">Base salary UBS attested for an Executive Director, Investment Strategist, New York — five years and roughly 20% of cumulative inflation ago. This is the figure I am requesting.</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4CA" w:sz="4"/>
              <w:left w:val="single" w:color="D9D4CA" w:sz="4"/>
              <w:bottom w:val="single" w:color="D9D4CA" w:sz="4"/>
              <w:right w:val="single" w:color="D9D4CA" w:sz="4"/>
            </w:tcBorders>
            <w:shd w:fill="F2F0EB" w:color="auto" w:val="clear"/>
            <w:tcMar>
              <w:top w:type="dxa" w:w="160"/>
              <w:left w:type="dxa" w:w="220"/>
              <w:bottom w:type="dxa" w:w="160"/>
              <w:right w:type="dxa" w:w="220"/>
            </w:tcMar>
          </w:tcPr>
          <w:p>
            <w:r>
              <w:rPr>
                <w:rFonts w:ascii="Calibri" w:cs="Calibri" w:eastAsia="Calibri" w:hAnsi="Calibri"/>
                <w:b/>
                <w:bCs/>
                <w:color w:val="6A7179"/>
                <w:sz w:val="17"/>
                <w:szCs w:val="17"/>
              </w:rPr>
              <w:t xml:space="preserve">UBS'S OWN PUBLIC JOB POSTINGS · CIO · NEW YORK · 2025</w:t>
            </w:r>
          </w:p>
          <w:p>
            <w:r>
              <w:rPr>
                <w:rFonts w:ascii="Cambria" w:cs="Cambria" w:eastAsia="Cambria" w:hAnsi="Cambria"/>
                <w:b/>
                <w:bCs/>
                <w:color w:val="C8102E"/>
                <w:sz w:val="56"/>
                <w:szCs w:val="56"/>
              </w:rPr>
              <w:t xml:space="preserve">$170K – $250K</w:t>
            </w:r>
          </w:p>
          <w:p>
            <w:r>
              <w:rPr>
                <w:rFonts w:ascii="Calibri" w:cs="Calibri" w:eastAsia="Calibri" w:hAnsi="Calibri"/>
                <w:color w:val="1B2A3A"/>
                <w:sz w:val="20"/>
                <w:szCs w:val="20"/>
              </w:rPr>
              <w:t xml:space="preserve">Posted ranges for Executive Director Fixed Income Strategist ($170K–$245K) and US Senior Economist ($200K–$250K) in the CIO. $180K sits in the bottom quarter of the ED range.</w:t>
            </w:r>
          </w:p>
        </w:tc>
      </w:tr>
    </w:tbl>
    <w:p>
      <w:r>
        <w:br w:type="page"/>
      </w:r>
    </w:p>
    <w:p>
      <w:pPr>
        <w:pStyle w:val="Heading1"/>
        <w:spacing w:after="160" w:before="360"/>
      </w:pPr>
      <w:r>
        <w:rPr>
          <w:rFonts w:ascii="Cambria" w:cs="Cambria" w:eastAsia="Cambria" w:hAnsi="Cambria"/>
          <w:b/>
          <w:bCs/>
          <w:color w:val="1B2A3A"/>
          <w:sz w:val="32"/>
          <w:szCs w:val="32"/>
        </w:rPr>
        <w:t xml:space="preserve">2. UBS's own Department of Labor filings</w:t>
      </w:r>
    </w:p>
    <w:p>
      <w:pPr>
        <w:spacing w:after="120"/>
      </w:pPr>
      <w:r>
        <w:rPr>
          <w:rFonts w:ascii="Calibri" w:cs="Calibri" w:eastAsia="Calibri" w:hAnsi="Calibri"/>
          <w:color w:val="1B2A3A"/>
          <w:sz w:val="21"/>
          <w:szCs w:val="21"/>
        </w:rPr>
        <w:t xml:space="preserve">Before sponsoring an H-1B employee, an employer must file a Labor Condition Application with the US Department of Labor stating the base wage it will pay. These filings are public record. Every row below is a filing by UBS Financial Services Inc for a New York worksite; the case number identifies the individual DOL record.</w:t>
      </w:r>
    </w:p>
    <w:p>
      <w:pPr>
        <w:pStyle w:val="Heading2"/>
        <w:spacing w:after="120" w:before="280"/>
      </w:pPr>
      <w:r>
        <w:rPr>
          <w:rFonts w:ascii="Cambria" w:cs="Cambria" w:eastAsia="Cambria" w:hAnsi="Cambria"/>
          <w:b/>
          <w:bCs/>
          <w:color w:val="C8102E"/>
          <w:sz w:val="24"/>
          <w:szCs w:val="24"/>
        </w:rPr>
        <w:t xml:space="preserve">2a. Executive Director filings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200"/>
        <w:gridCol w:w="1200"/>
        <w:gridCol w:w="2480"/>
      </w:tblGrid>
      <w:tr>
        <w:trPr>
          <w:tblHeader/>
        </w:trPr>
        <w:tc>
          <w:tcPr>
            <w:tcW w:type="dxa" w:w="39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Title as filed by UBS</w:t>
            </w:r>
          </w:p>
        </w:tc>
        <w:tc>
          <w:tcPr>
            <w:tcW w:type="dxa" w:w="13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Base salary</w:t>
            </w:r>
          </w:p>
        </w:tc>
        <w:tc>
          <w:tcPr>
            <w:tcW w:type="dxa" w:w="12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Filed</w:t>
            </w:r>
          </w:p>
        </w:tc>
        <w:tc>
          <w:tcPr>
            <w:tcW w:type="dxa" w:w="12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Start</w:t>
            </w:r>
          </w:p>
        </w:tc>
        <w:tc>
          <w:tcPr>
            <w:tcW w:type="dxa" w:w="248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DOL case number</w:t>
            </w:r>
          </w:p>
        </w:tc>
      </w:tr>
      <w:tr>
        <w:tc>
          <w:tcPr>
            <w:tcW w:type="dxa" w:w="39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Executive Director, Investment Strategist</w:t>
            </w:r>
          </w:p>
        </w:tc>
        <w:tc>
          <w:tcPr>
            <w:tcW w:type="dxa" w:w="1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bCs/>
                <w:color w:val="C8102E"/>
                <w:sz w:val="19"/>
                <w:szCs w:val="19"/>
              </w:rPr>
              <w:t xml:space="preserve">$250,000</w:t>
            </w:r>
          </w:p>
        </w:tc>
        <w:tc>
          <w:tcPr>
            <w:tcW w:type="dxa" w:w="12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12/21/2020</w:t>
            </w:r>
          </w:p>
        </w:tc>
        <w:tc>
          <w:tcPr>
            <w:tcW w:type="dxa" w:w="12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06/18/2021</w:t>
            </w:r>
          </w:p>
        </w:tc>
        <w:tc>
          <w:tcPr>
            <w:tcW w:type="dxa" w:w="248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I-200-20356-972064</w:t>
            </w:r>
          </w:p>
        </w:tc>
      </w:tr>
      <w:tr>
        <w:tc>
          <w:tcPr>
            <w:tcW w:type="dxa" w:w="39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Executive Director, Investment Strategist</w:t>
            </w:r>
          </w:p>
        </w:tc>
        <w:tc>
          <w:tcPr>
            <w:tcW w:type="dxa" w:w="1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bCs/>
                <w:color w:val="C8102E"/>
                <w:sz w:val="19"/>
                <w:szCs w:val="19"/>
              </w:rPr>
              <w:t xml:space="preserve">$250,000</w:t>
            </w:r>
          </w:p>
        </w:tc>
        <w:tc>
          <w:tcPr>
            <w:tcW w:type="dxa" w:w="12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12/22/2020</w:t>
            </w:r>
          </w:p>
        </w:tc>
        <w:tc>
          <w:tcPr>
            <w:tcW w:type="dxa" w:w="12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06/18/2021</w:t>
            </w:r>
          </w:p>
        </w:tc>
        <w:tc>
          <w:tcPr>
            <w:tcW w:type="dxa" w:w="248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I-200-20357-975460</w:t>
            </w:r>
          </w:p>
        </w:tc>
      </w:tr>
      <w:tr>
        <w:tc>
          <w:tcPr>
            <w:tcW w:type="dxa" w:w="3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Executive Director, Sustainable &amp; Impact Investing Strategist</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$225,000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03/25/2025</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09/15/2025</w:t>
            </w:r>
          </w:p>
        </w:tc>
        <w:tc>
          <w:tcPr>
            <w:tcW w:type="dxa" w:w="2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I-200-25084-802134</w:t>
            </w:r>
          </w:p>
        </w:tc>
      </w:tr>
      <w:tr>
        <w:tc>
          <w:tcPr>
            <w:tcW w:type="dxa" w:w="3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Executive Director, Asset Allocation Strategist</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$200,000</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04/17/2025</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10/01/2025</w:t>
            </w:r>
          </w:p>
        </w:tc>
        <w:tc>
          <w:tcPr>
            <w:tcW w:type="dxa" w:w="2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I-200-25107-876910</w:t>
            </w:r>
          </w:p>
        </w:tc>
      </w:tr>
      <w:tr>
        <w:tc>
          <w:tcPr>
            <w:tcW w:type="dxa" w:w="3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Executive Director, Investment Strategist</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$175,000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06/29/2020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07/08/2020</w:t>
            </w:r>
          </w:p>
        </w:tc>
        <w:tc>
          <w:tcPr>
            <w:tcW w:type="dxa" w:w="2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I-200-20181-686000</w:t>
            </w:r>
          </w:p>
        </w:tc>
      </w:tr>
    </w:tbl>
    <w:p>
      <w:pPr>
        <w:spacing w:after="120"/>
      </w:pPr>
      <w:r>
        <w:rPr>
          <w:rFonts w:ascii="Calibri" w:cs="Calibri" w:eastAsia="Calibri" w:hAnsi="Calibri"/>
          <w:color w:val="6A7179"/>
          <w:sz w:val="17"/>
          <w:szCs w:val="17"/>
        </w:rPr>
        <w:t xml:space="preserve">Rows 1 and 2 are two filings for the same $250,000 role one day apart (an original and an amendment) and should be read as one data point.</w:t>
      </w:r>
    </w:p>
    <w:p>
      <w:pPr>
        <w:pStyle w:val="Heading2"/>
        <w:spacing w:after="120" w:before="280"/>
      </w:pPr>
      <w:r>
        <w:rPr>
          <w:rFonts w:ascii="Cambria" w:cs="Cambria" w:eastAsia="Cambria" w:hAnsi="Cambria"/>
          <w:b/>
          <w:bCs/>
          <w:color w:val="C8102E"/>
          <w:sz w:val="24"/>
          <w:szCs w:val="24"/>
        </w:rPr>
        <w:t xml:space="preserve">2b. Emerging Markets filings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200"/>
        <w:gridCol w:w="1200"/>
        <w:gridCol w:w="2480"/>
      </w:tblGrid>
      <w:tr>
        <w:trPr>
          <w:tblHeader/>
        </w:trPr>
        <w:tc>
          <w:tcPr>
            <w:tcW w:type="dxa" w:w="39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Title as filed by UBS</w:t>
            </w:r>
          </w:p>
        </w:tc>
        <w:tc>
          <w:tcPr>
            <w:tcW w:type="dxa" w:w="13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Base salary</w:t>
            </w:r>
          </w:p>
        </w:tc>
        <w:tc>
          <w:tcPr>
            <w:tcW w:type="dxa" w:w="12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Filed</w:t>
            </w:r>
          </w:p>
        </w:tc>
        <w:tc>
          <w:tcPr>
            <w:tcW w:type="dxa" w:w="12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Start</w:t>
            </w:r>
          </w:p>
        </w:tc>
        <w:tc>
          <w:tcPr>
            <w:tcW w:type="dxa" w:w="248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DOL case number</w:t>
            </w:r>
          </w:p>
        </w:tc>
      </w:tr>
      <w:tr>
        <w:tc>
          <w:tcPr>
            <w:tcW w:type="dxa" w:w="39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Emerging Markets Strategist</w:t>
            </w:r>
          </w:p>
        </w:tc>
        <w:tc>
          <w:tcPr>
            <w:tcW w:type="dxa" w:w="1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bCs/>
                <w:color w:val="C8102E"/>
                <w:sz w:val="19"/>
                <w:szCs w:val="19"/>
              </w:rPr>
              <w:t xml:space="preserve">$175,000</w:t>
            </w:r>
          </w:p>
        </w:tc>
        <w:tc>
          <w:tcPr>
            <w:tcW w:type="dxa" w:w="12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02/16/2026</w:t>
            </w:r>
          </w:p>
        </w:tc>
        <w:tc>
          <w:tcPr>
            <w:tcW w:type="dxa" w:w="12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08/13/2026</w:t>
            </w:r>
          </w:p>
        </w:tc>
        <w:tc>
          <w:tcPr>
            <w:tcW w:type="dxa" w:w="248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I-200-26047-642808</w:t>
            </w:r>
          </w:p>
        </w:tc>
      </w:tr>
      <w:tr>
        <w:tc>
          <w:tcPr>
            <w:tcW w:type="dxa" w:w="3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Emerging Markets Strategist, Americas CIO</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$120,000</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05/26/2023</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08/21/2023</w:t>
            </w:r>
          </w:p>
        </w:tc>
        <w:tc>
          <w:tcPr>
            <w:tcW w:type="dxa" w:w="2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I-200-23146-058193</w:t>
            </w:r>
          </w:p>
        </w:tc>
      </w:tr>
      <w:tr>
        <w:tc>
          <w:tcPr>
            <w:tcW w:type="dxa" w:w="3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Authorized Officer, Emerging Market Associate</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$137,000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04/20/2023</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08/21/2023</w:t>
            </w:r>
          </w:p>
        </w:tc>
        <w:tc>
          <w:tcPr>
            <w:tcW w:type="dxa" w:w="2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I-200-23111-953712</w:t>
            </w:r>
          </w:p>
        </w:tc>
      </w:tr>
      <w:tr>
        <w:tc>
          <w:tcPr>
            <w:tcW w:type="dxa" w:w="3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Authorized Officer, Emerging Market Associate</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$120,000</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05/11/2023</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08/21/2023</w:t>
            </w:r>
          </w:p>
        </w:tc>
        <w:tc>
          <w:tcPr>
            <w:tcW w:type="dxa" w:w="2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I-200-23131-013289</w:t>
            </w:r>
          </w:p>
        </w:tc>
      </w:tr>
    </w:tbl>
    <w:p>
      <w:pPr>
        <w:spacing w:after="120"/>
      </w:pPr>
      <w:r>
        <w:rPr>
          <w:rFonts w:ascii="Calibri" w:cs="Calibri" w:eastAsia="Calibri" w:hAnsi="Calibri"/>
          <w:color w:val="6A7179"/>
          <w:sz w:val="17"/>
          <w:szCs w:val="17"/>
        </w:rPr>
        <w:t xml:space="preserve">The February 2026 Director-level EM Strategist at $175,000 is the most directly comparable record in the dataset.</w:t>
      </w:r>
    </w:p>
    <w:p>
      <w:pPr>
        <w:pStyle w:val="Heading2"/>
        <w:spacing w:after="120" w:before="280"/>
      </w:pPr>
      <w:r>
        <w:rPr>
          <w:rFonts w:ascii="Cambria" w:cs="Cambria" w:eastAsia="Cambria" w:hAnsi="Cambria"/>
          <w:b/>
          <w:bCs/>
          <w:color w:val="C8102E"/>
          <w:sz w:val="24"/>
          <w:szCs w:val="24"/>
        </w:rPr>
        <w:t xml:space="preserve">2c. Other strategist filings (Director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200"/>
        <w:gridCol w:w="1200"/>
        <w:gridCol w:w="2480"/>
      </w:tblGrid>
      <w:tr>
        <w:trPr>
          <w:tblHeader/>
        </w:trPr>
        <w:tc>
          <w:tcPr>
            <w:tcW w:type="dxa" w:w="39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Title as filed by UBS</w:t>
            </w:r>
          </w:p>
        </w:tc>
        <w:tc>
          <w:tcPr>
            <w:tcW w:type="dxa" w:w="13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Base salary</w:t>
            </w:r>
          </w:p>
        </w:tc>
        <w:tc>
          <w:tcPr>
            <w:tcW w:type="dxa" w:w="12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Filed</w:t>
            </w:r>
          </w:p>
        </w:tc>
        <w:tc>
          <w:tcPr>
            <w:tcW w:type="dxa" w:w="12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Start</w:t>
            </w:r>
          </w:p>
        </w:tc>
        <w:tc>
          <w:tcPr>
            <w:tcW w:type="dxa" w:w="248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DOL case number</w:t>
            </w:r>
          </w:p>
        </w:tc>
      </w:tr>
      <w:tr>
        <w:tc>
          <w:tcPr>
            <w:tcW w:type="dxa" w:w="3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Alternative Investments Strategist</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$205,000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12/13/2023</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04/13/2024</w:t>
            </w:r>
          </w:p>
        </w:tc>
        <w:tc>
          <w:tcPr>
            <w:tcW w:type="dxa" w:w="2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I-200-23347-563965</w:t>
            </w:r>
          </w:p>
        </w:tc>
      </w:tr>
      <w:tr>
        <w:tc>
          <w:tcPr>
            <w:tcW w:type="dxa" w:w="3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Alternative Investments Strategist</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$200,000</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04/12/2021</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04/13/2021</w:t>
            </w:r>
          </w:p>
        </w:tc>
        <w:tc>
          <w:tcPr>
            <w:tcW w:type="dxa" w:w="2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I-200-21102-215279</w:t>
            </w:r>
          </w:p>
        </w:tc>
      </w:tr>
      <w:tr>
        <w:tc>
          <w:tcPr>
            <w:tcW w:type="dxa" w:w="3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Quantitative Analyst</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$175,000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05/02/2025</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05/09/2025</w:t>
            </w:r>
          </w:p>
        </w:tc>
        <w:tc>
          <w:tcPr>
            <w:tcW w:type="dxa" w:w="2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I-200-25122-932722</w:t>
            </w:r>
          </w:p>
        </w:tc>
      </w:tr>
      <w:tr>
        <w:tc>
          <w:tcPr>
            <w:tcW w:type="dxa" w:w="3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Quantitative Analyst</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$175,000</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04/21/2025</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09/30/2025</w:t>
            </w:r>
          </w:p>
        </w:tc>
        <w:tc>
          <w:tcPr>
            <w:tcW w:type="dxa" w:w="2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I-200-25111-886372</w:t>
            </w:r>
          </w:p>
        </w:tc>
      </w:tr>
      <w:tr>
        <w:tc>
          <w:tcPr>
            <w:tcW w:type="dxa" w:w="3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Sustainable &amp; Impact Investing Strategist</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$165,000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10/26/2022</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04/16/2023</w:t>
            </w:r>
          </w:p>
        </w:tc>
        <w:tc>
          <w:tcPr>
            <w:tcW w:type="dxa" w:w="2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I-200-22299-552304</w:t>
            </w:r>
          </w:p>
        </w:tc>
      </w:tr>
      <w:tr>
        <w:tc>
          <w:tcPr>
            <w:tcW w:type="dxa" w:w="3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Portfolio Strategist</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$150,000</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02/16/2021</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02/23/2021</w:t>
            </w:r>
          </w:p>
        </w:tc>
        <w:tc>
          <w:tcPr>
            <w:tcW w:type="dxa" w:w="2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I-200-21047-079223</w:t>
            </w:r>
          </w:p>
        </w:tc>
      </w:tr>
      <w:tr>
        <w:tc>
          <w:tcPr>
            <w:tcW w:type="dxa" w:w="3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Portfolio Strategist</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$150,000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12/18/2020</w:t>
            </w:r>
          </w:p>
        </w:tc>
        <w:tc>
          <w:tcPr>
            <w:tcW w:type="dxa" w:w="1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06/17/2021</w:t>
            </w:r>
          </w:p>
        </w:tc>
        <w:tc>
          <w:tcPr>
            <w:tcW w:type="dxa" w:w="2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I-200-20353-969658</w:t>
            </w:r>
          </w:p>
        </w:tc>
      </w:tr>
      <w:tr>
        <w:tc>
          <w:tcPr>
            <w:tcW w:type="dxa" w:w="3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Sustainable Investing Strategist</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$125,000</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04/03/2020</w:t>
            </w:r>
          </w:p>
        </w:tc>
        <w:tc>
          <w:tcPr>
            <w:tcW w:type="dxa" w:w="1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04/16/2020</w:t>
            </w:r>
          </w:p>
        </w:tc>
        <w:tc>
          <w:tcPr>
            <w:tcW w:type="dxa" w:w="2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I-200-20094-459368</w:t>
            </w:r>
          </w:p>
        </w:tc>
      </w:tr>
    </w:tbl>
    <w:p>
      <w:pPr>
        <w:pStyle w:val="Heading2"/>
        <w:spacing w:after="120" w:before="280"/>
      </w:pPr>
      <w:r>
        <w:rPr>
          <w:rFonts w:ascii="Cambria" w:cs="Cambria" w:eastAsia="Cambria" w:hAnsi="Cambria"/>
          <w:b/>
          <w:bCs/>
          <w:color w:val="C8102E"/>
          <w:sz w:val="24"/>
          <w:szCs w:val="24"/>
        </w:rPr>
        <w:t xml:space="preserve">2d. All UBS Financial Services filings above $200,000 (non-ED)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1300"/>
        <w:gridCol w:w="1300"/>
        <w:gridCol w:w="2580"/>
      </w:tblGrid>
      <w:tr>
        <w:trPr>
          <w:tblHeader/>
        </w:trPr>
        <w:tc>
          <w:tcPr>
            <w:tcW w:type="dxa" w:w="49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Title as filed by UBS</w:t>
            </w:r>
          </w:p>
        </w:tc>
        <w:tc>
          <w:tcPr>
            <w:tcW w:type="dxa" w:w="13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Base salary</w:t>
            </w:r>
          </w:p>
        </w:tc>
        <w:tc>
          <w:tcPr>
            <w:tcW w:type="dxa" w:w="13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Filed</w:t>
            </w:r>
          </w:p>
        </w:tc>
        <w:tc>
          <w:tcPr>
            <w:tcW w:type="dxa" w:w="258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DOL case number</w:t>
            </w:r>
          </w:p>
        </w:tc>
      </w:tr>
      <w:tr>
        <w:tc>
          <w:tcPr>
            <w:tcW w:type="dxa" w:w="4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Deputy Head, Wealth Management International</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$400,000</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03/30/2020</w:t>
            </w:r>
          </w:p>
        </w:tc>
        <w:tc>
          <w:tcPr>
            <w:tcW w:type="dxa" w:w="25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I-200-20090-444621</w:t>
            </w:r>
          </w:p>
        </w:tc>
      </w:tr>
      <w:tr>
        <w:tc>
          <w:tcPr>
            <w:tcW w:type="dxa" w:w="4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First Vice President, Financial Advisor – Wealth Management</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$400,000</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04/19/2023</w:t>
            </w:r>
          </w:p>
        </w:tc>
        <w:tc>
          <w:tcPr>
            <w:tcW w:type="dxa" w:w="25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I-203-23109-947727</w:t>
            </w:r>
          </w:p>
        </w:tc>
      </w:tr>
      <w:tr>
        <w:tc>
          <w:tcPr>
            <w:tcW w:type="dxa" w:w="4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Managing Director, Operating Head US Strategic Programs</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$300,000</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05/27/2025</w:t>
            </w:r>
          </w:p>
        </w:tc>
        <w:tc>
          <w:tcPr>
            <w:tcW w:type="dxa" w:w="25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I-200-25147-018929</w:t>
            </w:r>
          </w:p>
        </w:tc>
      </w:tr>
      <w:tr>
        <w:tc>
          <w:tcPr>
            <w:tcW w:type="dxa" w:w="4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First Vice President, Financial Advisor</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$250,000</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05/01/2024</w:t>
            </w:r>
          </w:p>
        </w:tc>
        <w:tc>
          <w:tcPr>
            <w:tcW w:type="dxa" w:w="25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I-200-24122-944314</w:t>
            </w:r>
          </w:p>
        </w:tc>
      </w:tr>
      <w:tr>
        <w:tc>
          <w:tcPr>
            <w:tcW w:type="dxa" w:w="4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Evidence Lab Innovations, Data Scientist Lead</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$225,000</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04/18/2022</w:t>
            </w:r>
          </w:p>
        </w:tc>
        <w:tc>
          <w:tcPr>
            <w:tcW w:type="dxa" w:w="25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I-200-22108-077838</w:t>
            </w:r>
          </w:p>
        </w:tc>
      </w:tr>
      <w:tr>
        <w:tc>
          <w:tcPr>
            <w:tcW w:type="dxa" w:w="4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Product Owner, STAAT Data Science</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$225,000</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04/25/2025</w:t>
            </w:r>
          </w:p>
        </w:tc>
        <w:tc>
          <w:tcPr>
            <w:tcW w:type="dxa" w:w="25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I-200-25115-905755</w:t>
            </w:r>
          </w:p>
        </w:tc>
      </w:tr>
      <w:tr>
        <w:tc>
          <w:tcPr>
            <w:tcW w:type="dxa" w:w="49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Head of Business Management, Wealth Management USA</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$220,000</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03/11/2020</w:t>
            </w:r>
          </w:p>
        </w:tc>
        <w:tc>
          <w:tcPr>
            <w:tcW w:type="dxa" w:w="25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I-200-20071-397113</w:t>
            </w:r>
          </w:p>
        </w:tc>
      </w:tr>
      <w:tr>
        <w:tc>
          <w:tcPr>
            <w:tcW w:type="dxa" w:w="49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Director, Alternative Investments Strategist</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$205,000</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12/13/2023</w:t>
            </w:r>
          </w:p>
        </w:tc>
        <w:tc>
          <w:tcPr>
            <w:tcW w:type="dxa" w:w="25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I-200-23347-563965</w:t>
            </w:r>
          </w:p>
        </w:tc>
      </w:tr>
    </w:tbl>
    <w:p>
      <w:pPr>
        <w:pStyle w:val="Heading2"/>
        <w:spacing w:after="120" w:before="280"/>
      </w:pPr>
      <w:r>
        <w:rPr>
          <w:rFonts w:ascii="Cambria" w:cs="Cambria" w:eastAsia="Cambria" w:hAnsi="Cambria"/>
          <w:b/>
          <w:bCs/>
          <w:color w:val="C8102E"/>
          <w:sz w:val="24"/>
          <w:szCs w:val="24"/>
        </w:rPr>
        <w:t xml:space="preserve">How to verify</w:t>
      </w:r>
    </w:p>
    <w:p>
      <w:pPr>
        <w:spacing w:after="120"/>
      </w:pPr>
      <w:r>
        <w:rPr>
          <w:rFonts w:ascii="Calibri" w:cs="Calibri" w:eastAsia="Calibri" w:hAnsi="Calibri"/>
          <w:color w:val="1B2A3A"/>
          <w:sz w:val="19"/>
          <w:szCs w:val="19"/>
        </w:rPr>
        <w:t xml:space="preserve">US Department of Labor, Office of Foreign Labor Certification — H-1B Labor Condition Application (LCA) disclosure data. Employer: UBS Financial Services Inc. Worksite: New York, NY. Indexed at h1bdata.info (https://h1bdata.info/index.php?em=ubs+financial+services+inc&amp;city=new+york&amp;year=all+years). Each record: https://h1bdata.info/details.php?id=&lt;case number&gt;.</w:t>
      </w:r>
    </w:p>
    <w:p>
      <w:pPr>
        <w:spacing w:after="120"/>
      </w:pPr>
      <w:r>
        <w:rPr>
          <w:rFonts w:ascii="Calibri" w:cs="Calibri" w:eastAsia="Calibri" w:hAnsi="Calibri"/>
          <w:color w:val="6A7179"/>
          <w:sz w:val="19"/>
          <w:szCs w:val="19"/>
        </w:rPr>
        <w:t xml:space="preserve">Method: filtered to employer "UBS Financial Services Inc" and worksite "New York, NY", all years (50 records, 2019–2026). Titles, wages, dates and case numbers are reproduced exactly as they appear in the DOL disclosure data. LCA filings exist only for sponsored employees, so this is a sample of the team, not the whole team; the wage stated is the wage the employer attested it would pay, which is normally the base salary.</w:t>
      </w:r>
    </w:p>
    <w:p>
      <w:r>
        <w:br w:type="page"/>
      </w:r>
    </w:p>
    <w:p>
      <w:pPr>
        <w:pStyle w:val="Heading1"/>
        <w:spacing w:after="160" w:before="360"/>
      </w:pPr>
      <w:r>
        <w:rPr>
          <w:rFonts w:ascii="Cambria" w:cs="Cambria" w:eastAsia="Cambria" w:hAnsi="Cambria"/>
          <w:b/>
          <w:bCs/>
          <w:color w:val="1B2A3A"/>
          <w:sz w:val="32"/>
          <w:szCs w:val="32"/>
        </w:rPr>
        <w:t xml:space="preserve">3. Public job postings with NYC pay-transparency ranges</w:t>
      </w:r>
    </w:p>
    <w:p>
      <w:pPr>
        <w:spacing w:after="120"/>
      </w:pPr>
      <w:r>
        <w:rPr>
          <w:rFonts w:ascii="Calibri" w:cs="Calibri" w:eastAsia="Calibri" w:hAnsi="Calibri"/>
          <w:color w:val="1B2A3A"/>
          <w:sz w:val="21"/>
          <w:szCs w:val="21"/>
        </w:rPr>
        <w:t xml:space="preserve">Collected and shared with management in 2025. Ranges are those printed on the postings themselves under New York City's pay-transparency law. Screenshots of each posting are in the appendix; the last column shows which screenshot(s) carry the range.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350"/>
        <w:gridCol w:w="1750"/>
        <w:gridCol w:w="1300"/>
        <w:gridCol w:w="880"/>
      </w:tblGrid>
      <w:tr>
        <w:trPr>
          <w:tblHeader/>
        </w:trPr>
        <w:tc>
          <w:tcPr>
            <w:tcW w:type="dxa" w:w="15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Firm</w:t>
            </w:r>
          </w:p>
        </w:tc>
        <w:tc>
          <w:tcPr>
            <w:tcW w:type="dxa" w:w="33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Role</w:t>
            </w:r>
          </w:p>
        </w:tc>
        <w:tc>
          <w:tcPr>
            <w:tcW w:type="dxa" w:w="135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Location</w:t>
            </w:r>
          </w:p>
        </w:tc>
        <w:tc>
          <w:tcPr>
            <w:tcW w:type="dxa" w:w="175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Posted base range</w:t>
            </w:r>
          </w:p>
        </w:tc>
        <w:tc>
          <w:tcPr>
            <w:tcW w:type="dxa" w:w="13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Note</w:t>
            </w:r>
          </w:p>
        </w:tc>
        <w:tc>
          <w:tcPr>
            <w:tcW w:type="dxa" w:w="88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Screenshot</w:t>
            </w:r>
          </w:p>
        </w:tc>
      </w:tr>
      <w:tr>
        <w:tc>
          <w:tcPr>
            <w:tcW w:type="dxa" w:w="15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UBS</w:t>
            </w:r>
          </w:p>
        </w:tc>
        <w:tc>
          <w:tcPr>
            <w:tcW w:type="dxa" w:w="3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bCs/>
                <w:color w:val="C8102E"/>
                <w:sz w:val="19"/>
                <w:szCs w:val="19"/>
              </w:rPr>
              <w:t xml:space="preserve">Fixed Income Strategist – Executive Director (CIO, GWM)</w:t>
            </w:r>
          </w:p>
        </w:tc>
        <w:tc>
          <w:tcPr>
            <w:tcW w:type="dxa" w:w="135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New York</w:t>
            </w:r>
          </w:p>
        </w:tc>
        <w:tc>
          <w:tcPr>
            <w:tcW w:type="dxa" w:w="175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$170,000 – $245,000</w:t>
            </w:r>
          </w:p>
        </w:tc>
        <w:tc>
          <w:tcPr>
            <w:tcW w:type="dxa" w:w="1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Job ref 301328BR</w:t>
            </w:r>
          </w:p>
        </w:tc>
        <w:tc>
          <w:tcPr>
            <w:tcW w:type="dxa" w:w="88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p6, p7</w:t>
            </w:r>
          </w:p>
        </w:tc>
      </w:tr>
      <w:tr>
        <w:tc>
          <w:tcPr>
            <w:tcW w:type="dxa" w:w="15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UBS</w:t>
            </w:r>
          </w:p>
        </w:tc>
        <w:tc>
          <w:tcPr>
            <w:tcW w:type="dxa" w:w="3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bCs/>
                <w:color w:val="C8102E"/>
                <w:sz w:val="19"/>
                <w:szCs w:val="19"/>
              </w:rPr>
              <w:t xml:space="preserve">US Senior Economist (CIO)</w:t>
            </w:r>
          </w:p>
        </w:tc>
        <w:tc>
          <w:tcPr>
            <w:tcW w:type="dxa" w:w="135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New York</w:t>
            </w:r>
          </w:p>
        </w:tc>
        <w:tc>
          <w:tcPr>
            <w:tcW w:type="dxa" w:w="175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$200,000 – $250,000</w:t>
            </w:r>
          </w:p>
        </w:tc>
        <w:tc>
          <w:tcPr>
            <w:tcW w:type="dxa" w:w="1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
            </w:r>
          </w:p>
        </w:tc>
        <w:tc>
          <w:tcPr>
            <w:tcW w:type="dxa" w:w="88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p7</w:t>
            </w:r>
          </w:p>
        </w:tc>
      </w:tr>
      <w:tr>
        <w:tc>
          <w:tcPr>
            <w:tcW w:type="dxa" w:w="15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UBS</w:t>
            </w:r>
          </w:p>
        </w:tc>
        <w:tc>
          <w:tcPr>
            <w:tcW w:type="dxa" w:w="3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bCs/>
                <w:color w:val="C8102E"/>
                <w:sz w:val="19"/>
                <w:szCs w:val="19"/>
              </w:rPr>
              <w:t xml:space="preserve">Asset Allocation Strategist (CIO)</w:t>
            </w:r>
          </w:p>
        </w:tc>
        <w:tc>
          <w:tcPr>
            <w:tcW w:type="dxa" w:w="135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New York</w:t>
            </w:r>
          </w:p>
        </w:tc>
        <w:tc>
          <w:tcPr>
            <w:tcW w:type="dxa" w:w="175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$157,000 – $205,000</w:t>
            </w:r>
          </w:p>
        </w:tc>
        <w:tc>
          <w:tcPr>
            <w:tcW w:type="dxa" w:w="130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Job ref 323654BR</w:t>
            </w:r>
          </w:p>
        </w:tc>
        <w:tc>
          <w:tcPr>
            <w:tcW w:type="dxa" w:w="880"/>
            <w:tcBorders>
              <w:top w:val="single" w:color="D9D4CA" w:sz="4"/>
              <w:left w:val="single" w:color="D9D4CA" w:sz="4"/>
              <w:bottom w:val="single" w:color="D9D4CA" w:sz="4"/>
              <w:right w:val="single" w:color="D9D4CA" w:sz="4"/>
            </w:tcBorders>
            <w:shd w:fill="FBEAEC"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p1, p2, p3</w:t>
            </w:r>
          </w:p>
        </w:tc>
      </w:tr>
      <w:tr>
        <w:tc>
          <w:tcPr>
            <w:tcW w:type="dxa" w:w="15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Deutsche Bank</w:t>
            </w:r>
          </w:p>
        </w:tc>
        <w:tc>
          <w:tcPr>
            <w:tcW w:type="dxa" w:w="3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LatAm Research Analyst – Director</w:t>
            </w:r>
          </w:p>
        </w:tc>
        <w:tc>
          <w:tcPr>
            <w:tcW w:type="dxa" w:w="135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New York (hybrid)</w:t>
            </w:r>
          </w:p>
        </w:tc>
        <w:tc>
          <w:tcPr>
            <w:tcW w:type="dxa" w:w="175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$225,000 – $275,000</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
            </w:r>
          </w:p>
        </w:tc>
        <w:tc>
          <w:tcPr>
            <w:tcW w:type="dxa" w:w="8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p4, p5</w:t>
            </w:r>
          </w:p>
        </w:tc>
      </w:tr>
      <w:tr>
        <w:tc>
          <w:tcPr>
            <w:tcW w:type="dxa" w:w="15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RBC</w:t>
            </w:r>
          </w:p>
        </w:tc>
        <w:tc>
          <w:tcPr>
            <w:tcW w:type="dxa" w:w="3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Vice President, Investment Grade Credit Desk Strategist</w:t>
            </w:r>
          </w:p>
        </w:tc>
        <w:tc>
          <w:tcPr>
            <w:tcW w:type="dxa" w:w="135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New York</w:t>
            </w:r>
          </w:p>
        </w:tc>
        <w:tc>
          <w:tcPr>
            <w:tcW w:type="dxa" w:w="175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$225,000 (expected)</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
            </w:r>
          </w:p>
        </w:tc>
        <w:tc>
          <w:tcPr>
            <w:tcW w:type="dxa" w:w="8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p1</w:t>
            </w:r>
          </w:p>
        </w:tc>
      </w:tr>
      <w:tr>
        <w:tc>
          <w:tcPr>
            <w:tcW w:type="dxa" w:w="15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Barclays</w:t>
            </w:r>
          </w:p>
        </w:tc>
        <w:tc>
          <w:tcPr>
            <w:tcW w:type="dxa" w:w="3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Senior G10 FX/Macro Strategist</w:t>
            </w:r>
          </w:p>
        </w:tc>
        <w:tc>
          <w:tcPr>
            <w:tcW w:type="dxa" w:w="135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New York</w:t>
            </w:r>
          </w:p>
        </w:tc>
        <w:tc>
          <w:tcPr>
            <w:tcW w:type="dxa" w:w="175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$155,000 – $225,000</w:t>
            </w:r>
          </w:p>
        </w:tc>
        <w:tc>
          <w:tcPr>
            <w:tcW w:type="dxa" w:w="13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Min/max stated</w:t>
            </w:r>
          </w:p>
        </w:tc>
        <w:tc>
          <w:tcPr>
            <w:tcW w:type="dxa" w:w="8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p4</w:t>
            </w:r>
          </w:p>
        </w:tc>
      </w:tr>
      <w:tr>
        <w:tc>
          <w:tcPr>
            <w:tcW w:type="dxa" w:w="15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Dalio Family Office</w:t>
            </w:r>
          </w:p>
        </w:tc>
        <w:tc>
          <w:tcPr>
            <w:tcW w:type="dxa" w:w="3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Investment Associate, Global Macro</w:t>
            </w:r>
          </w:p>
        </w:tc>
        <w:tc>
          <w:tcPr>
            <w:tcW w:type="dxa" w:w="135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New York (hybrid)</w:t>
            </w:r>
          </w:p>
        </w:tc>
        <w:tc>
          <w:tcPr>
            <w:tcW w:type="dxa" w:w="175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$200,000 – $300,000</w:t>
            </w:r>
          </w:p>
        </w:tc>
        <w:tc>
          <w:tcPr>
            <w:tcW w:type="dxa" w:w="13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Inclusive of merit bonus</w:t>
            </w:r>
          </w:p>
        </w:tc>
        <w:tc>
          <w:tcPr>
            <w:tcW w:type="dxa" w:w="8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p3</w:t>
            </w:r>
          </w:p>
        </w:tc>
      </w:tr>
    </w:tbl>
    <w:p>
      <w:pPr>
        <w:spacing w:after="120"/>
      </w:pPr>
      <w:r>
        <w:rPr>
          <w:rFonts w:ascii="Calibri" w:cs="Calibri" w:eastAsia="Calibri" w:hAnsi="Calibri"/>
          <w:color w:val="6A7179"/>
          <w:sz w:val="17"/>
          <w:szCs w:val="17"/>
        </w:rPr>
        <w:t xml:space="preserve">Shaded rows are UBS's own CIO / Global Wealth Management postings.</w:t>
      </w:r>
    </w:p>
    <w:p>
      <w:pPr>
        <w:spacing w:after="160"/>
      </w:pPr>
    </w:p>
    <w:p>
      <w:pPr>
        <w:pStyle w:val="Heading2"/>
        <w:spacing w:after="120" w:before="280"/>
      </w:pPr>
      <w:r>
        <w:rPr>
          <w:rFonts w:ascii="Cambria" w:cs="Cambria" w:eastAsia="Cambria" w:hAnsi="Cambria"/>
          <w:b/>
          <w:bCs/>
          <w:color w:val="C8102E"/>
          <w:sz w:val="24"/>
          <w:szCs w:val="24"/>
        </w:rPr>
        <w:t xml:space="preserve">Where $180,000 sits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480"/>
      </w:tblGrid>
      <w:tr>
        <w:trPr>
          <w:tblHeader/>
        </w:trPr>
        <w:tc>
          <w:tcPr>
            <w:tcW w:type="dxa" w:w="42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Benchmark</w:t>
            </w:r>
          </w:p>
        </w:tc>
        <w:tc>
          <w:tcPr>
            <w:tcW w:type="dxa" w:w="140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Value</w:t>
            </w:r>
          </w:p>
        </w:tc>
        <w:tc>
          <w:tcPr>
            <w:tcW w:type="dxa" w:w="4480"/>
            <w:tcBorders>
              <w:top w:val="single" w:color="D9D4CA" w:sz="4"/>
              <w:left w:val="single" w:color="D9D4CA" w:sz="4"/>
              <w:bottom w:val="single" w:color="D9D4CA" w:sz="4"/>
              <w:right w:val="single" w:color="D9D4CA" w:sz="4"/>
            </w:tcBorders>
            <w:shd w:fill="1B2A3A"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Versus $180,000 ED base</w:t>
            </w:r>
          </w:p>
        </w:tc>
      </w:tr>
      <w:tr>
        <w:tc>
          <w:tcPr>
            <w:tcW w:type="dxa" w:w="4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UBS ED Fixed Income Strategist, posted range midpoint</w:t>
            </w:r>
          </w:p>
        </w:tc>
        <w:tc>
          <w:tcPr>
            <w:tcW w:type="dxa" w:w="14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$207,500</w:t>
            </w:r>
          </w:p>
        </w:tc>
        <w:tc>
          <w:tcPr>
            <w:tcW w:type="dxa" w:w="4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$180K is $27.5K below midpoint; 8% above the floor</w:t>
            </w:r>
          </w:p>
        </w:tc>
      </w:tr>
      <w:tr>
        <w:tc>
          <w:tcPr>
            <w:tcW w:type="dxa" w:w="4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UBS US Senior Economist, posted range floor</w:t>
            </w:r>
          </w:p>
        </w:tc>
        <w:tc>
          <w:tcPr>
            <w:tcW w:type="dxa" w:w="14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$200,000</w:t>
            </w:r>
          </w:p>
        </w:tc>
        <w:tc>
          <w:tcPr>
            <w:tcW w:type="dxa" w:w="4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$180K is $20K below the floor</w:t>
            </w:r>
          </w:p>
        </w:tc>
      </w:tr>
      <w:tr>
        <w:tc>
          <w:tcPr>
            <w:tcW w:type="dxa" w:w="4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UBS Asset Allocation Strategist (non-ED), posted range top</w:t>
            </w:r>
          </w:p>
        </w:tc>
        <w:tc>
          <w:tcPr>
            <w:tcW w:type="dxa" w:w="14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$205,000</w:t>
            </w:r>
          </w:p>
        </w:tc>
        <w:tc>
          <w:tcPr>
            <w:tcW w:type="dxa" w:w="4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$180K is $25K below the top of a more junior posting</w:t>
            </w:r>
          </w:p>
        </w:tc>
      </w:tr>
      <w:tr>
        <w:tc>
          <w:tcPr>
            <w:tcW w:type="dxa" w:w="42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UBS Director EM Strategist, DOL filing, Feb 2026</w:t>
            </w:r>
          </w:p>
        </w:tc>
        <w:tc>
          <w:tcPr>
            <w:tcW w:type="dxa" w:w="140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$175,000</w:t>
            </w:r>
          </w:p>
        </w:tc>
        <w:tc>
          <w:tcPr>
            <w:tcW w:type="dxa" w:w="4480"/>
            <w:tcBorders>
              <w:top w:val="single" w:color="D9D4CA" w:sz="4"/>
              <w:left w:val="single" w:color="D9D4CA" w:sz="4"/>
              <w:bottom w:val="single" w:color="D9D4CA" w:sz="4"/>
              <w:right w:val="single" w:color="D9D4CA" w:sz="4"/>
            </w:tcBorders>
            <w:shd w:fill="F2F0EB" w:color="auto" w:val="clear"/>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$180K is $5K (2.9%) above a Director-level seat</w:t>
            </w:r>
          </w:p>
        </w:tc>
      </w:tr>
      <w:tr>
        <w:tc>
          <w:tcPr>
            <w:tcW w:type="dxa" w:w="42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UBS ED Investment Strategist, DOL filing, Dec 2020</w:t>
            </w:r>
          </w:p>
        </w:tc>
        <w:tc>
          <w:tcPr>
            <w:tcW w:type="dxa" w:w="140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$250,000</w:t>
            </w:r>
          </w:p>
        </w:tc>
        <w:tc>
          <w:tcPr>
            <w:tcW w:type="dxa" w:w="4480"/>
            <w:tcBorders>
              <w:top w:val="single" w:color="D9D4CA" w:sz="4"/>
              <w:left w:val="single" w:color="D9D4CA" w:sz="4"/>
              <w:bottom w:val="single" w:color="D9D4CA" w:sz="4"/>
              <w:right w:val="single" w:color="D9D4CA" w:sz="4"/>
            </w:tcBorders>
            <w:tcMar>
              <w:top w:type="dxa" w:w="80"/>
              <w:left w:type="dxa" w:w="100"/>
              <w:bottom w:type="dxa" w:w="80"/>
              <w:right w:type="dxa" w:w="100"/>
            </w:tcMar>
          </w:tcPr>
          <w:p>
            <w:pPr>
              <w:jc w:val="left"/>
            </w:pPr>
            <w:r>
              <w:rPr>
                <w:rFonts w:ascii="Calibri" w:cs="Calibri" w:eastAsia="Calibri" w:hAnsi="Calibri"/>
                <w:b w:val="false"/>
                <w:bCs w:val="false"/>
                <w:color w:val="1B2A3A"/>
                <w:sz w:val="19"/>
                <w:szCs w:val="19"/>
              </w:rPr>
              <w:t xml:space="preserve">$180K is $70K below what UBS paid an ED strategist five years ago</w:t>
            </w:r>
          </w:p>
        </w:tc>
      </w:tr>
    </w:tbl>
    <w:p>
      <w:r>
        <w:br w:type="page"/>
      </w:r>
    </w:p>
    <w:p>
      <w:pPr>
        <w:pStyle w:val="Heading1"/>
        <w:spacing w:after="160" w:before="360"/>
      </w:pPr>
      <w:r>
        <w:rPr>
          <w:rFonts w:ascii="Cambria" w:cs="Cambria" w:eastAsia="Cambria" w:hAnsi="Cambria"/>
          <w:b/>
          <w:bCs/>
          <w:color w:val="1B2A3A"/>
          <w:sz w:val="32"/>
          <w:szCs w:val="32"/>
        </w:rPr>
        <w:t xml:space="preserve">Appendix — Screenshots of the postings (as shared in 2025)</w:t>
      </w:r>
    </w:p>
    <w:p>
      <w:pPr>
        <w:keepNext/>
        <w:spacing w:after="60"/>
      </w:pPr>
      <w:r>
        <w:rPr>
          <w:rFonts w:ascii="Calibri" w:cs="Calibri" w:eastAsia="Calibri" w:hAnsi="Calibri"/>
          <w:b/>
          <w:bCs/>
          <w:color w:val="1B2A3A"/>
          <w:sz w:val="19"/>
          <w:szCs w:val="19"/>
        </w:rPr>
        <w:t xml:space="preserve">Screenshot P1 — UBS Asset Allocation Strategist range ($157K–$205K) and RBC VP IG Credit Desk Strategist ($225K)</w:t>
      </w:r>
    </w:p>
    <w:p>
      <w:pPr>
        <w:spacing w:after="24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096000"/>
                    </a:xfrm>
                    <a:prstGeom prst="rect">
                      <a:avLst/>
                    </a:prstGeom>
                  </pic:spPr>
                </pic:pic>
              </a:graphicData>
            </a:graphic>
          </wp:inline>
        </w:drawing>
      </w:r>
    </w:p>
    <w:p>
      <w:pPr>
        <w:keepNext/>
        <w:spacing w:after="60"/>
      </w:pPr>
      <w:r>
        <w:rPr>
          <w:rFonts w:ascii="Calibri" w:cs="Calibri" w:eastAsia="Calibri" w:hAnsi="Calibri"/>
          <w:b/>
          <w:bCs/>
          <w:color w:val="1B2A3A"/>
          <w:sz w:val="19"/>
          <w:szCs w:val="19"/>
        </w:rPr>
        <w:t xml:space="preserve">Screenshot P2 — UBS Asset Allocation Strategist, job ref 323654BR — full posting with salary range</w:t>
      </w:r>
    </w:p>
    <w:p>
      <w:pPr>
        <w:spacing w:after="24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6096000"/>
                    </a:xfrm>
                    <a:prstGeom prst="rect">
                      <a:avLst/>
                    </a:prstGeom>
                  </pic:spPr>
                </pic:pic>
              </a:graphicData>
            </a:graphic>
          </wp:inline>
        </w:drawing>
      </w:r>
    </w:p>
    <w:p>
      <w:pPr>
        <w:keepNext/>
        <w:spacing w:after="60"/>
      </w:pPr>
      <w:r>
        <w:rPr>
          <w:rFonts w:ascii="Calibri" w:cs="Calibri" w:eastAsia="Calibri" w:hAnsi="Calibri"/>
          <w:b/>
          <w:bCs/>
          <w:color w:val="1B2A3A"/>
          <w:sz w:val="19"/>
          <w:szCs w:val="19"/>
        </w:rPr>
        <w:t xml:space="preserve">Screenshot P3 — Dalio Family Office Investment Associate, Global Macro ($200K–$300K)</w:t>
      </w:r>
    </w:p>
    <w:p>
      <w:pPr>
        <w:spacing w:after="24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6096000"/>
                    </a:xfrm>
                    <a:prstGeom prst="rect">
                      <a:avLst/>
                    </a:prstGeom>
                  </pic:spPr>
                </pic:pic>
              </a:graphicData>
            </a:graphic>
          </wp:inline>
        </w:drawing>
      </w:r>
    </w:p>
    <w:p>
      <w:pPr>
        <w:keepNext/>
        <w:spacing w:after="60"/>
      </w:pPr>
      <w:r>
        <w:rPr>
          <w:rFonts w:ascii="Calibri" w:cs="Calibri" w:eastAsia="Calibri" w:hAnsi="Calibri"/>
          <w:b/>
          <w:bCs/>
          <w:color w:val="1B2A3A"/>
          <w:sz w:val="19"/>
          <w:szCs w:val="19"/>
        </w:rPr>
        <w:t xml:space="preserve">Screenshot P4 — Deutsche Bank LatAm Research Director ($225K–$275K) and Barclays Senior G10 FX/Macro Strategist ($155K–$225K)</w:t>
      </w:r>
    </w:p>
    <w:p>
      <w:pPr>
        <w:spacing w:after="24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096000"/>
                    </a:xfrm>
                    <a:prstGeom prst="rect">
                      <a:avLst/>
                    </a:prstGeom>
                  </pic:spPr>
                </pic:pic>
              </a:graphicData>
            </a:graphic>
          </wp:inline>
        </w:drawing>
      </w:r>
    </w:p>
    <w:p>
      <w:pPr>
        <w:keepNext/>
        <w:spacing w:after="60"/>
      </w:pPr>
      <w:r>
        <w:rPr>
          <w:rFonts w:ascii="Calibri" w:cs="Calibri" w:eastAsia="Calibri" w:hAnsi="Calibri"/>
          <w:b/>
          <w:bCs/>
          <w:color w:val="1B2A3A"/>
          <w:sz w:val="19"/>
          <w:szCs w:val="19"/>
        </w:rPr>
        <w:t xml:space="preserve">Screenshot P5 — Deutsche Bank LatAm Research Analyst – Director, full posting</w:t>
      </w:r>
    </w:p>
    <w:p>
      <w:pPr>
        <w:spacing w:after="24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6096000"/>
                    </a:xfrm>
                    <a:prstGeom prst="rect">
                      <a:avLst/>
                    </a:prstGeom>
                  </pic:spPr>
                </pic:pic>
              </a:graphicData>
            </a:graphic>
          </wp:inline>
        </w:drawing>
      </w:r>
    </w:p>
    <w:p>
      <w:pPr>
        <w:keepNext/>
        <w:spacing w:after="60"/>
      </w:pPr>
      <w:r>
        <w:rPr>
          <w:rFonts w:ascii="Calibri" w:cs="Calibri" w:eastAsia="Calibri" w:hAnsi="Calibri"/>
          <w:b/>
          <w:bCs/>
          <w:color w:val="1B2A3A"/>
          <w:sz w:val="19"/>
          <w:szCs w:val="19"/>
        </w:rPr>
        <w:t xml:space="preserve">Screenshot P6 — UBS Fixed Income Strategist – Executive Director, CIO, job ref 301328BR ($170K–$245K)</w:t>
      </w:r>
    </w:p>
    <w:p>
      <w:pPr>
        <w:spacing w:after="24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6096000"/>
                    </a:xfrm>
                    <a:prstGeom prst="rect">
                      <a:avLst/>
                    </a:prstGeom>
                  </pic:spPr>
                </pic:pic>
              </a:graphicData>
            </a:graphic>
          </wp:inline>
        </w:drawing>
      </w:r>
    </w:p>
    <w:p>
      <w:pPr>
        <w:keepNext/>
        <w:spacing w:after="60"/>
      </w:pPr>
      <w:r>
        <w:rPr>
          <w:rFonts w:ascii="Calibri" w:cs="Calibri" w:eastAsia="Calibri" w:hAnsi="Calibri"/>
          <w:b/>
          <w:bCs/>
          <w:color w:val="1B2A3A"/>
          <w:sz w:val="19"/>
          <w:szCs w:val="19"/>
        </w:rPr>
        <w:t xml:space="preserve">Screenshot P7 — UBS US Senior Economist, CIO ($200K–$250K), above the ED Fixed Income Strategist posting</w:t>
      </w:r>
    </w:p>
    <w:p>
      <w:pPr>
        <w:spacing w:after="24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6096000"/>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ca61dd62086792fa399e93a3e5489f69852612.jpg"/><Relationship Id="rId8" Type="http://schemas.openxmlformats.org/officeDocument/2006/relationships/image" Target="media/95575e38e250e7862f986f7ac60f7f73bd253640.jpg"/><Relationship Id="rId9" Type="http://schemas.openxmlformats.org/officeDocument/2006/relationships/image" Target="media/3c5815e18af121333ec5c78e0fb08d94ac0a0290.jpg"/><Relationship Id="rId10" Type="http://schemas.openxmlformats.org/officeDocument/2006/relationships/image" Target="media/cabc4599c5f703a38abe94266cb2c0bee533bc37.jpg"/><Relationship Id="rId11" Type="http://schemas.openxmlformats.org/officeDocument/2006/relationships/image" Target="media/ddb7f6dd380b9c2cea2bf8bcbc69a6768d8de5d1.jpg"/><Relationship Id="rId12" Type="http://schemas.openxmlformats.org/officeDocument/2006/relationships/image" Target="media/f5f8074b5b7821f644657b547df29dc1819c6466.jpg"/><Relationship Id="rId13" Type="http://schemas.openxmlformats.org/officeDocument/2006/relationships/image" Target="media/417a96f508251d1cca2edc342667f05c91f8fb94.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2026-09-22T15:36:00.309Z</dcterms:created>
  <dcterms:modified xsi:type="dcterms:W3CDTF">2026-09-22T15:36:00.316Z</dcterms:modified>
</cp:coreProperties>
</file>

<file path=docProps/custom.xml><?xml version="1.0" encoding="utf-8"?>
<Properties xmlns="http://schemas.openxmlformats.org/officeDocument/2006/custom-properties" xmlns:vt="http://schemas.openxmlformats.org/officeDocument/2006/docPropsVTypes"/>
</file>