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30"/>
          <w:szCs w:val="30"/>
        </w:rPr>
        <w:t xml:space="preserve">YPF 2027 / 2035 Roll — Argentine Tax Treatment</w:t>
      </w:r>
    </w:p>
    <w:p>
      <w:pPr>
        <w:spacing w:after="40"/>
      </w:pPr>
      <w:r>
        <w:rPr>
          <w:rFonts w:ascii="Arial" w:cs="Arial" w:eastAsia="Arial" w:hAnsi="Arial"/>
          <w:color w:val="595959"/>
          <w:sz w:val="21"/>
          <w:szCs w:val="21"/>
        </w:rPr>
        <w:t xml:space="preserve">Tendering the 2027s and reinvesting in the new 2035s: is the structure the same for Argentine residents?</w:t>
      </w:r>
    </w:p>
    <w:p>
      <w:pPr>
        <w:pBdr>
          <w:bottom w:val="single" w:color="E60000" w:sz="12" w:space="6"/>
        </w:pBdr>
        <w:spacing w:after="200"/>
      </w:pPr>
      <w:r>
        <w:rPr>
          <w:rFonts w:ascii="Arial" w:cs="Arial" w:eastAsia="Arial" w:hAnsi="Arial"/>
          <w:i/>
          <w:iCs/>
          <w:color w:val="595959"/>
          <w:sz w:val="18"/>
          <w:szCs w:val="18"/>
        </w:rPr>
        <w:t xml:space="preserve">10 September 2026  |  Internal working note</w:t>
      </w:r>
    </w:p>
    <w:p>
      <w:pPr>
        <w:pStyle w:val="Heading1"/>
        <w:pBdr>
          <w:bottom w:val="single" w:color="E60000" w:sz="6" w:space="4"/>
        </w:pBdr>
        <w:spacing w:after="120" w:before="280"/>
      </w:pPr>
      <w:r>
        <w:rPr>
          <w:rFonts w:ascii="Arial" w:cs="Arial" w:eastAsia="Arial" w:hAnsi="Arial"/>
          <w:b/>
          <w:bCs/>
          <w:color w:val="000000"/>
          <w:sz w:val="23"/>
          <w:szCs w:val="23"/>
        </w:rPr>
        <w:t xml:space="preserve">Short answer</w:t>
      </w:r>
    </w:p>
    <w:p>
      <w:pPr>
        <w:spacing w:after="120" w:line="264"/>
      </w:pPr>
      <w:r>
        <w:rPr>
          <w:rFonts w:ascii="Arial" w:cs="Arial" w:eastAsia="Arial" w:hAnsi="Arial"/>
          <w:b w:val="false"/>
          <w:bCs w:val="false"/>
          <w:i w:val="false"/>
          <w:iCs w:val="false"/>
          <w:color w:val="000000"/>
          <w:sz w:val="20"/>
          <w:szCs w:val="20"/>
        </w:rPr>
        <w:t xml:space="preserve">For a persona humana residente, yes — both bonds sit in the same tax bucket, so the roll is close to neutral. That changes completely if the holder is a company or an offshore vehicle.</w:t>
      </w:r>
    </w:p>
    <w:p>
      <w:pPr>
        <w:pStyle w:val="Heading1"/>
        <w:pBdr>
          <w:bottom w:val="single" w:color="E60000" w:sz="6" w:space="4"/>
        </w:pBdr>
        <w:spacing w:after="120" w:before="280"/>
      </w:pPr>
      <w:r>
        <w:rPr>
          <w:rFonts w:ascii="Arial" w:cs="Arial" w:eastAsia="Arial" w:hAnsi="Arial"/>
          <w:b/>
          <w:bCs/>
          <w:color w:val="000000"/>
          <w:sz w:val="23"/>
          <w:szCs w:val="23"/>
        </w:rPr>
        <w:t xml:space="preserve">Why the treatment is the same</w:t>
      </w:r>
    </w:p>
    <w:p>
      <w:pPr>
        <w:spacing w:after="120" w:line="264"/>
      </w:pPr>
      <w:r>
        <w:rPr>
          <w:rFonts w:ascii="Arial" w:cs="Arial" w:eastAsia="Arial" w:hAnsi="Arial"/>
          <w:b w:val="false"/>
          <w:bCs w:val="false"/>
          <w:i w:val="false"/>
          <w:iCs w:val="false"/>
          <w:color w:val="000000"/>
          <w:sz w:val="20"/>
          <w:szCs w:val="20"/>
        </w:rPr>
        <w:t xml:space="preserve">Both instruments are Obligaciones Negociables issued under Ley 23.576 with CNV public-offering authorization: the 2027s are Class LIII, the new 2035s Class XLIV, both under YPF's Régimen de Emisor Frecuente. That shared status drives everything.</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Impuesto a las Ganancias: </w:t>
      </w:r>
      <w:r>
        <w:rPr>
          <w:rFonts w:ascii="Arial" w:cs="Arial" w:eastAsia="Arial" w:hAnsi="Arial"/>
          <w:b w:val="false"/>
          <w:bCs w:val="false"/>
          <w:i w:val="false"/>
          <w:iCs w:val="false"/>
          <w:color w:val="000000"/>
          <w:sz w:val="20"/>
          <w:szCs w:val="20"/>
        </w:rPr>
        <w:t xml:space="preserve">Art. 36 bis, punto 3 exempts interest; punto 4 exempts the result on purchase and sale. Both apply to each line.</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Bienes Personales: </w:t>
      </w:r>
      <w:r>
        <w:rPr>
          <w:rFonts w:ascii="Arial" w:cs="Arial" w:eastAsia="Arial" w:hAnsi="Arial"/>
          <w:b w:val="false"/>
          <w:bCs w:val="false"/>
          <w:i w:val="false"/>
          <w:iCs w:val="false"/>
          <w:color w:val="000000"/>
          <w:sz w:val="20"/>
          <w:szCs w:val="20"/>
        </w:rPr>
        <w:t xml:space="preserve">Art. 21 inc. i) of Ley 23.966, added by Ley 27.638, exempts only ONs emitidas en moneda nacional. Both YPF lines are USD-denominated, so both are gravadas, valued at market quote at 31 December. As an Argentine issuer, they are bienes situados en el país regardless of custody location.</w:t>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3360"/>
        <w:gridCol w:w="3360"/>
        <w:gridCol w:w="3360"/>
      </w:tblGrid>
      <w:tr>
        <w:trPr>
          <w:tblHeader/>
        </w:trPr>
        <w:tc>
          <w:tcPr>
            <w:tcW w:type="dxa" w:w="3360"/>
            <w:shd w:fill="E60000" w:color="auto" w:val="clear"/>
            <w:tcMar>
              <w:top w:type="dxa" w:w="80"/>
              <w:left w:type="dxa" w:w="110"/>
              <w:bottom w:type="dxa" w:w="80"/>
              <w:right w:type="dxa" w:w="110"/>
            </w:tcMar>
          </w:tcPr>
          <w:p>
            <w:pPr>
              <w:spacing w:after="0" w:line="240"/>
            </w:pPr>
            <w:r>
              <w:rPr>
                <w:rFonts w:ascii="Arial" w:cs="Arial" w:eastAsia="Arial" w:hAnsi="Arial"/>
                <w:b/>
                <w:bCs/>
                <w:color w:val="FFFFFF"/>
                <w:sz w:val="18"/>
                <w:szCs w:val="18"/>
              </w:rPr>
              <w:t xml:space="preserve"/>
            </w:r>
          </w:p>
        </w:tc>
        <w:tc>
          <w:tcPr>
            <w:tcW w:type="dxa" w:w="3360"/>
            <w:shd w:fill="E60000" w:color="auto" w:val="clear"/>
            <w:tcMar>
              <w:top w:type="dxa" w:w="80"/>
              <w:left w:type="dxa" w:w="110"/>
              <w:bottom w:type="dxa" w:w="80"/>
              <w:right w:type="dxa" w:w="110"/>
            </w:tcMar>
          </w:tcPr>
          <w:p>
            <w:pPr>
              <w:spacing w:after="0" w:line="240"/>
            </w:pPr>
            <w:r>
              <w:rPr>
                <w:rFonts w:ascii="Arial" w:cs="Arial" w:eastAsia="Arial" w:hAnsi="Arial"/>
                <w:b/>
                <w:bCs/>
                <w:color w:val="FFFFFF"/>
                <w:sz w:val="18"/>
                <w:szCs w:val="18"/>
              </w:rPr>
              <w:t xml:space="preserve">6.950% 2027s</w:t>
            </w:r>
          </w:p>
        </w:tc>
        <w:tc>
          <w:tcPr>
            <w:tcW w:type="dxa" w:w="3360"/>
            <w:shd w:fill="E60000" w:color="auto" w:val="clear"/>
            <w:tcMar>
              <w:top w:type="dxa" w:w="80"/>
              <w:left w:type="dxa" w:w="110"/>
              <w:bottom w:type="dxa" w:w="80"/>
              <w:right w:type="dxa" w:w="110"/>
            </w:tcMar>
          </w:tcPr>
          <w:p>
            <w:pPr>
              <w:spacing w:after="0" w:line="240"/>
            </w:pPr>
            <w:r>
              <w:rPr>
                <w:rFonts w:ascii="Arial" w:cs="Arial" w:eastAsia="Arial" w:hAnsi="Arial"/>
                <w:b/>
                <w:bCs/>
                <w:color w:val="FFFFFF"/>
                <w:sz w:val="18"/>
                <w:szCs w:val="18"/>
              </w:rPr>
              <w:t xml:space="preserve">7.550% 2035s</w:t>
            </w:r>
          </w:p>
        </w:tc>
      </w:tr>
      <w:tr>
        <w:tc>
          <w:tcPr>
            <w:tcW w:type="dxa" w:w="3360"/>
            <w:tcMar>
              <w:top w:type="dxa" w:w="80"/>
              <w:left w:type="dxa" w:w="110"/>
              <w:bottom w:type="dxa" w:w="80"/>
              <w:right w:type="dxa" w:w="110"/>
            </w:tcMar>
          </w:tcPr>
          <w:p>
            <w:pPr>
              <w:spacing w:after="0" w:line="240"/>
            </w:pPr>
            <w:r>
              <w:rPr>
                <w:rFonts w:ascii="Arial" w:cs="Arial" w:eastAsia="Arial" w:hAnsi="Arial"/>
                <w:b/>
                <w:bCs/>
                <w:color w:val="000000"/>
                <w:sz w:val="18"/>
                <w:szCs w:val="18"/>
              </w:rPr>
              <w:t xml:space="preserve">Interest</w:t>
            </w:r>
          </w:p>
        </w:tc>
        <w:tc>
          <w:tcPr>
            <w:tcW w:type="dxa" w:w="3360"/>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Exempt</w:t>
            </w:r>
          </w:p>
        </w:tc>
        <w:tc>
          <w:tcPr>
            <w:tcW w:type="dxa" w:w="3360"/>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Exempt</w:t>
            </w:r>
          </w:p>
        </w:tc>
      </w:tr>
      <w:tr>
        <w:tc>
          <w:tcPr>
            <w:tcW w:type="dxa" w:w="3360"/>
            <w:shd w:fill="F2F2F2" w:color="auto" w:val="clear"/>
            <w:tcMar>
              <w:top w:type="dxa" w:w="80"/>
              <w:left w:type="dxa" w:w="110"/>
              <w:bottom w:type="dxa" w:w="80"/>
              <w:right w:type="dxa" w:w="110"/>
            </w:tcMar>
          </w:tcPr>
          <w:p>
            <w:pPr>
              <w:spacing w:after="0" w:line="240"/>
            </w:pPr>
            <w:r>
              <w:rPr>
                <w:rFonts w:ascii="Arial" w:cs="Arial" w:eastAsia="Arial" w:hAnsi="Arial"/>
                <w:b/>
                <w:bCs/>
                <w:color w:val="000000"/>
                <w:sz w:val="18"/>
                <w:szCs w:val="18"/>
              </w:rPr>
              <w:t xml:space="preserve">Capital gain on sale</w:t>
            </w:r>
          </w:p>
        </w:tc>
        <w:tc>
          <w:tcPr>
            <w:tcW w:type="dxa" w:w="3360"/>
            <w:shd w:fill="F2F2F2" w:color="auto" w:val="clear"/>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Exempt</w:t>
            </w:r>
          </w:p>
        </w:tc>
        <w:tc>
          <w:tcPr>
            <w:tcW w:type="dxa" w:w="3360"/>
            <w:shd w:fill="F2F2F2" w:color="auto" w:val="clear"/>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Exempt</w:t>
            </w:r>
          </w:p>
        </w:tc>
      </w:tr>
      <w:tr>
        <w:tc>
          <w:tcPr>
            <w:tcW w:type="dxa" w:w="3360"/>
            <w:tcMar>
              <w:top w:type="dxa" w:w="80"/>
              <w:left w:type="dxa" w:w="110"/>
              <w:bottom w:type="dxa" w:w="80"/>
              <w:right w:type="dxa" w:w="110"/>
            </w:tcMar>
          </w:tcPr>
          <w:p>
            <w:pPr>
              <w:spacing w:after="0" w:line="240"/>
            </w:pPr>
            <w:r>
              <w:rPr>
                <w:rFonts w:ascii="Arial" w:cs="Arial" w:eastAsia="Arial" w:hAnsi="Arial"/>
                <w:b/>
                <w:bCs/>
                <w:color w:val="000000"/>
                <w:sz w:val="18"/>
                <w:szCs w:val="18"/>
              </w:rPr>
              <w:t xml:space="preserve">Bienes Personales</w:t>
            </w:r>
          </w:p>
        </w:tc>
        <w:tc>
          <w:tcPr>
            <w:tcW w:type="dxa" w:w="3360"/>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Taxable, at market value</w:t>
            </w:r>
          </w:p>
        </w:tc>
        <w:tc>
          <w:tcPr>
            <w:tcW w:type="dxa" w:w="3360"/>
            <w:tcMar>
              <w:top w:type="dxa" w:w="80"/>
              <w:left w:type="dxa" w:w="110"/>
              <w:bottom w:type="dxa" w:w="80"/>
              <w:right w:type="dxa" w:w="110"/>
            </w:tcMar>
          </w:tcPr>
          <w:p>
            <w:pPr>
              <w:spacing w:after="0" w:line="240"/>
            </w:pPr>
            <w:r>
              <w:rPr>
                <w:rFonts w:ascii="Arial" w:cs="Arial" w:eastAsia="Arial" w:hAnsi="Arial"/>
                <w:b w:val="false"/>
                <w:bCs w:val="false"/>
                <w:color w:val="000000"/>
                <w:sz w:val="18"/>
                <w:szCs w:val="18"/>
              </w:rPr>
              <w:t xml:space="preserve">Taxable, at market value</w:t>
            </w:r>
          </w:p>
        </w:tc>
      </w:tr>
    </w:tbl>
    <w:p>
      <w:pPr>
        <w:pStyle w:val="Heading1"/>
        <w:pBdr>
          <w:bottom w:val="single" w:color="E60000" w:sz="6" w:space="4"/>
        </w:pBdr>
        <w:spacing w:after="120" w:before="280"/>
      </w:pPr>
      <w:r>
        <w:rPr>
          <w:rFonts w:ascii="Arial" w:cs="Arial" w:eastAsia="Arial" w:hAnsi="Arial"/>
          <w:b/>
          <w:bCs/>
          <w:color w:val="000000"/>
          <w:sz w:val="23"/>
          <w:szCs w:val="23"/>
        </w:rPr>
        <w:t xml:space="preserve">Leg by leg</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Tendering the 2027s. </w:t>
      </w:r>
      <w:r>
        <w:rPr>
          <w:rFonts w:ascii="Arial" w:cs="Arial" w:eastAsia="Arial" w:hAnsi="Arial"/>
          <w:b w:val="false"/>
          <w:bCs w:val="false"/>
          <w:i w:val="false"/>
          <w:iCs w:val="false"/>
          <w:color w:val="000000"/>
          <w:sz w:val="20"/>
          <w:szCs w:val="20"/>
        </w:rPr>
        <w:t xml:space="preserve">A tender is a sale, not a redemption, so it is a resultado por compraventa and exempt under punto 4. The premium over hold-to-maturity fair value is crystallised with no tax leakage. Accrued interest paid alongside the consideration is exempt under punto 3.</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Buying the 2035s. </w:t>
      </w:r>
      <w:r>
        <w:rPr>
          <w:rFonts w:ascii="Arial" w:cs="Arial" w:eastAsia="Arial" w:hAnsi="Arial"/>
          <w:b w:val="false"/>
          <w:bCs w:val="false"/>
          <w:i w:val="false"/>
          <w:iCs w:val="false"/>
          <w:color w:val="000000"/>
          <w:sz w:val="20"/>
          <w:szCs w:val="20"/>
        </w:rPr>
        <w:t xml:space="preserve">Same exemptions. The 98.075 issue price means the accretion to par is economically interest but is treated as capital gain on disposal or redemption, which is also exempt. No tax drag from the discount.</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Bienes Personales. </w:t>
      </w:r>
      <w:r>
        <w:rPr>
          <w:rFonts w:ascii="Arial" w:cs="Arial" w:eastAsia="Arial" w:hAnsi="Arial"/>
          <w:b w:val="false"/>
          <w:bCs w:val="false"/>
          <w:i w:val="false"/>
          <w:iCs w:val="false"/>
          <w:color w:val="000000"/>
          <w:sz w:val="20"/>
          <w:szCs w:val="20"/>
        </w:rPr>
        <w:t xml:space="preserve">No change. Dollar ON before, dollar ON after, both valued at cotización. More face value is held at 98.075 than at 101.75, but market-based valuation makes that a wash at the moment of the trade.</w:t>
      </w:r>
    </w:p>
    <w:p>
      <w:pPr>
        <w:pStyle w:val="Heading1"/>
        <w:pBdr>
          <w:bottom w:val="single" w:color="E60000" w:sz="6" w:space="4"/>
        </w:pBdr>
        <w:spacing w:after="120" w:before="280"/>
      </w:pPr>
      <w:r>
        <w:rPr>
          <w:rFonts w:ascii="Arial" w:cs="Arial" w:eastAsia="Arial" w:hAnsi="Arial"/>
          <w:b/>
          <w:bCs/>
          <w:color w:val="000000"/>
          <w:sz w:val="23"/>
          <w:szCs w:val="23"/>
        </w:rPr>
        <w:t xml:space="preserve">Where it stops being neutral</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The comparison is not ON versus ON. </w:t>
      </w:r>
      <w:r>
        <w:rPr>
          <w:rFonts w:ascii="Arial" w:cs="Arial" w:eastAsia="Arial" w:hAnsi="Arial"/>
          <w:b w:val="false"/>
          <w:bCs w:val="false"/>
          <w:i w:val="false"/>
          <w:iCs w:val="false"/>
          <w:color w:val="000000"/>
          <w:sz w:val="20"/>
          <w:szCs w:val="20"/>
        </w:rPr>
        <w:t xml:space="preserve">Dollar deposits and plazos fijos are exempt from Bienes Personales; dollar ONs are not, and funds left in a cuenta comitente at 31 December are taxable. If the client would otherwise sit in a plazo fijo, staying in ONs carries a BP cost the roll itself does not reveal.</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If the holder is not an individual, the analysis collapses. </w:t>
      </w:r>
      <w:r>
        <w:rPr>
          <w:rFonts w:ascii="Arial" w:cs="Arial" w:eastAsia="Arial" w:hAnsi="Arial"/>
          <w:b w:val="false"/>
          <w:bCs w:val="false"/>
          <w:i w:val="false"/>
          <w:iCs w:val="false"/>
          <w:color w:val="000000"/>
          <w:sz w:val="20"/>
          <w:szCs w:val="20"/>
        </w:rPr>
        <w:t xml:space="preserve">The Art. 36 bis exemptions run to personas humanas y sucesiones indivisas residentes. A sociedad pays Ganancias on both the interest and the tender gain at the corporate rate. A company, offshore vehicle or trust needs the analysis re-run from scratch.</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The exemption is conditional. </w:t>
      </w:r>
      <w:r>
        <w:rPr>
          <w:rFonts w:ascii="Arial" w:cs="Arial" w:eastAsia="Arial" w:hAnsi="Arial"/>
          <w:b w:val="false"/>
          <w:bCs w:val="false"/>
          <w:i w:val="false"/>
          <w:iCs w:val="false"/>
          <w:color w:val="000000"/>
          <w:sz w:val="20"/>
          <w:szCs w:val="20"/>
        </w:rPr>
        <w:t xml:space="preserve">Art. 36 requires proceeds to go to qualifying uses, one of which is refinanciación de pasivos — funding a tender fits squarely. The residual "general corporate purposes" language is looser; confirm the declared use in the prospecto rather than assuming.</w:t>
      </w:r>
    </w:p>
    <w:p>
      <w:pPr>
        <w:pStyle w:val="ListParagraph"/>
        <w:numPr>
          <w:ilvl w:val="0"/>
          <w:numId w:val="2"/>
        </w:numPr>
        <w:spacing w:after="80" w:line="264"/>
      </w:pPr>
      <w:r>
        <w:rPr>
          <w:rFonts w:ascii="Arial" w:cs="Arial" w:eastAsia="Arial" w:hAnsi="Arial"/>
          <w:b/>
          <w:bCs/>
          <w:i w:val="false"/>
          <w:iCs w:val="false"/>
          <w:color w:val="000000"/>
          <w:sz w:val="20"/>
          <w:szCs w:val="20"/>
        </w:rPr>
        <w:t xml:space="preserve">REIBP. </w:t>
      </w:r>
      <w:r>
        <w:rPr>
          <w:rFonts w:ascii="Arial" w:cs="Arial" w:eastAsia="Arial" w:hAnsi="Arial"/>
          <w:b w:val="false"/>
          <w:bCs w:val="false"/>
          <w:i w:val="false"/>
          <w:iCs w:val="false"/>
          <w:color w:val="000000"/>
          <w:sz w:val="20"/>
          <w:szCs w:val="20"/>
        </w:rPr>
        <w:t xml:space="preserve">Check whether the client adhered to the Régimen Especial under Ley 27.743, which prepaid Bienes Personales for several fiscal periods. If so, the BP leg is moot for the covered years and only Ganancias matters.</w:t>
      </w:r>
    </w:p>
    <w:p>
      <w:pPr>
        <w:pStyle w:val="Heading1"/>
        <w:pBdr>
          <w:bottom w:val="single" w:color="E60000" w:sz="6" w:space="4"/>
        </w:pBdr>
        <w:spacing w:after="120" w:before="280"/>
      </w:pPr>
      <w:r>
        <w:rPr>
          <w:rFonts w:ascii="Arial" w:cs="Arial" w:eastAsia="Arial" w:hAnsi="Arial"/>
          <w:b/>
          <w:bCs/>
          <w:color w:val="000000"/>
          <w:sz w:val="23"/>
          <w:szCs w:val="23"/>
        </w:rPr>
        <w:t xml:space="preserve">One source conflict to resolve</w:t>
      </w:r>
    </w:p>
    <w:p>
      <w:pPr>
        <w:spacing w:after="120" w:line="264"/>
      </w:pPr>
      <w:r>
        <w:rPr>
          <w:rFonts w:ascii="Arial" w:cs="Arial" w:eastAsia="Arial" w:hAnsi="Arial"/>
          <w:b w:val="false"/>
          <w:bCs w:val="false"/>
          <w:i w:val="false"/>
          <w:iCs w:val="false"/>
          <w:color w:val="000000"/>
          <w:sz w:val="20"/>
          <w:szCs w:val="20"/>
        </w:rPr>
        <w:t xml:space="preserve">At least one 2026 commentary states that ONs with public offering are exempt from Bienes Personales without qualification. That contradicts the statutory text of Art. 21 inc. i), which limits the exemption to pesos-denominated issues. The law text is the authority and specialist commentary agrees with it, but since this is exactly the point at issue, confirm against the current texto ordenado before anything goes out.</w:t>
      </w:r>
    </w:p>
    <w:p>
      <w:pPr>
        <w:spacing w:after="0" w:before="340"/>
      </w:pPr>
    </w:p>
    <w:tbl>
      <w:tblPr>
        <w:tblW w:type="dxa" w:w="10080"/>
        <w:tblBorders>
          <w:top w:val="single" w:color="E60000" w:sz="18"/>
          <w:left w:val="single" w:color="E60000" w:sz="18"/>
          <w:bottom w:val="single" w:color="E60000" w:sz="18"/>
          <w:right w:val="single" w:color="E60000" w:sz="18"/>
          <w:insideH w:val="none" w:color="auto" w:sz="0"/>
          <w:insideV w:val="none" w:color="auto" w:sz="0"/>
        </w:tblBorders>
      </w:tblPr>
      <w:tblGrid>
        <w:gridCol w:w="10080"/>
      </w:tblGrid>
      <w:tr>
        <w:tc>
          <w:tcPr>
            <w:tcW w:type="dxa" w:w="10080"/>
            <w:tcMar>
              <w:top w:type="dxa" w:w="240"/>
              <w:left w:type="dxa" w:w="240"/>
              <w:bottom w:type="dxa" w:w="240"/>
              <w:right w:type="dxa" w:w="240"/>
            </w:tcMar>
          </w:tcPr>
          <w:p>
            <w:pPr>
              <w:spacing w:after="120" w:line="300"/>
              <w:jc w:val="center"/>
            </w:pPr>
            <w:r>
              <w:rPr>
                <w:rFonts w:ascii="Arial" w:cs="Arial" w:eastAsia="Arial" w:hAnsi="Arial"/>
                <w:b/>
                <w:bCs/>
                <w:color w:val="E60000"/>
                <w:sz w:val="28"/>
                <w:szCs w:val="28"/>
              </w:rPr>
              <w:t xml:space="preserve">NOT TAX ADVICE — NOT AN INVESTMENT RECOMMENDATION</w:t>
            </w:r>
          </w:p>
          <w:p>
            <w:pPr>
              <w:spacing w:after="0" w:line="280"/>
              <w:jc w:val="center"/>
            </w:pPr>
            <w:r>
              <w:rPr>
                <w:rFonts w:ascii="Arial" w:cs="Arial" w:eastAsia="Arial" w:hAnsi="Arial"/>
                <w:b/>
                <w:bCs/>
                <w:color w:val="E60000"/>
                <w:sz w:val="20"/>
                <w:szCs w:val="20"/>
              </w:rPr>
              <w:t xml:space="preserve">We are not tax advisors and this note is not tax advice. It is an internal working summary of the general Argentine regime, prepared for discussion only, and it has not been reviewed or approved through the firm's research publication process. It must not be distributed to clients or any party outside the firm. Nothing in it constitutes a recommendation to tender, to refrain from tendering, or to buy or sell any security. Any client relying on this analysis must obtain independent advice from their own contador or tax counsel. The governing texts are the tax section of YPF's Offer to Purchase dated 7 September 2026 and the prospecto of the Class XLIV notes, together with the current texto ordenado of the applicable statutes.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2026-09-11T15:28:51.370Z</dcterms:created>
  <dcterms:modified xsi:type="dcterms:W3CDTF">2026-09-11T15:28:51.370Z</dcterms:modified>
</cp:coreProperties>
</file>

<file path=docProps/custom.xml><?xml version="1.0" encoding="utf-8"?>
<Properties xmlns="http://schemas.openxmlformats.org/officeDocument/2006/custom-properties" xmlns:vt="http://schemas.openxmlformats.org/officeDocument/2006/docPropsVTypes"/>
</file>