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Emerging market debt in US dollars</w:t>
      </w:r>
    </w:p>
    <w:p>
      <w:pPr>
        <w:pBdr>
          <w:bottom w:val="single" w:color="E60000" w:sz="22"/>
        </w:pBdr>
        <w:spacing w:after="3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Attractive across the scenario map — 12-month outlook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Sovereign fixed income research · August 2026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The case in brief</w:t>
      </w:r>
    </w:p>
    <w:p>
      <w:pPr>
        <w:spacing w:after="70" w:line="24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Emerging market sovereign bonds in US dollars yield around 6.5%, with an investment-grade average rating (BBB–) across roughly 150 government and government-related issuers. Tested against the four house scenarios for the next twelve months, the asset class produces a positive return in three — including the one where AI-related equities fall sharply. Weighted by probability, the expected return is +6.2%. The single losing scenario carries a 10% probability and a contained drawdown of about −3%.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What you own</w:t>
      </w:r>
    </w:p>
    <w:p>
      <w:pPr>
        <w:spacing w:after="70" w:line="24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6.5% yield has two parts: roughly 4.3 points from US Treasury yields and 2.2 points (220 basis points) of additional spread for lending to emerging market governments. The asset therefore behaves partly like Treasuries — gaining when US yields fall — and partly like credit, and the two legs frequently offset each other.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Four scenarios</w:t>
      </w:r>
    </w:p>
    <w:p>
      <w:pPr>
        <w:spacing w:after="5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Bull — AI lift-off (20%).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 investment exceeds expectations, US growth runs at 2.5–3%, the Fed hikes 75bp; equities rally, Treasury yields drift higher.</w:t>
      </w:r>
    </w:p>
    <w:p>
      <w:pPr>
        <w:spacing w:after="5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Base — Resilient growth (60%).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Growth near 2%, inflation normalises, the Fed resumes cutting (−50bp); spreads tighten.</w:t>
      </w:r>
    </w:p>
    <w:p>
      <w:pPr>
        <w:spacing w:after="5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Bear I — Yield pressure (10%).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Elevated oil prices and inflation-credibility concerns push long yields higher, the Fed hikes 50bp; bonds and equities fall together.</w:t>
      </w:r>
    </w:p>
    <w:p>
      <w:pPr>
        <w:spacing w:after="9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Bear II — AI bear market (10%).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 equities deflate and drag the economy down; the Fed cuts 200bp; equities fall sharply, Treasuries rally hard.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Composition of return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Bull: AI lift-off (20%)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Base: Resilient growth (60%)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Bear I: Yield pressure (10%)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Bear II: AI bear market (10%)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Carry (yield: 6.50%)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+6.50%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+6.50%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+6.50%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+6.50%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Roll-down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+0.20%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+0.20%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+0.20%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+0.20%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Treasury leg (duration: 6.9)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−3.11%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+1.38%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−4.83%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+7.59%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Spread leg (spread duration: 6.2)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−1.55%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+1.86%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−4.96%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−11.16%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Gross total return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+2.0%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+9.9%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−3.1%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+3.1%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Credit-loss drag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−0.2%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−1.5%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Net total return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+2.0%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+9.9%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−3.3%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+1.6%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EMBI Global spread, end-period (bp)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245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190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300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Probability-weighted return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+6.2%</w:t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10" w:before="6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Source: UBS estimates; J.P. Morgan EMBI Global, 20 August 2026. Starting spread 220bp. 12-month estimates, gross of fees, in USD. Figures may not sum due to rounding.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Why the profile is resilient</w:t>
      </w:r>
    </w:p>
    <w:p>
      <w:pPr>
        <w:spacing w:after="7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Carry does most of the work.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asset pays 6.7% before any price movement; with Treasury yields unchanged, spreads would need to widen by more than about 110 basis points before a twelve-month holder loses money.</w:t>
      </w:r>
    </w:p>
    <w:p>
      <w:pPr>
        <w:spacing w:after="7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Treasury leg is the shock absorber — in the scenario equity investors fear most.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 the AI bear market, the forces that sink equities push the Fed to cut 200 basis points; the +7.6% gain from duration absorbs a widening to 400bp plus a credit-loss allowance, leaving +1.6% in a year when equities fall around 25%. We mark that bear case conservatively — spreads widened roughly 240bp in the comparable 2022 drawdown, into a hiking Fed — though interim swings would exceed these end-period figures.</w:t>
      </w:r>
    </w:p>
    <w:p>
      <w:pPr>
        <w:spacing w:after="70" w:line="240"/>
        <w:jc w:val="both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vulnerable scenario is higher yields, not the equity bear.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Bear I offers no offset — spreads widen as Treasury yields rise — producing −3.3%. Its triggers are energy prices and inflation credibility rather than growth; the house assigns it 10%.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E60000"/>
          <w:sz w:val="20"/>
          <w:szCs w:val="20"/>
        </w:rPr>
        <w:t xml:space="preserve">Bottom line</w:t>
      </w:r>
    </w:p>
    <w:p>
      <w:pPr>
        <w:spacing w:after="0" w:line="240"/>
        <w:jc w:val="both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Investors are paid about 6.5% to hold a diversified, investment-grade-quality portfolio of government bonds whose worst scenario is a contained −3% and whose most severe equity scenario still ends positive, because the Treasury leg rallies exactly when risk assets fall. Equity-like expected return, bond-like downside, and negative correlation to the dominant equity risk of this cycle — that is the case for emerging market debt in US dollars.</w:t>
      </w:r>
    </w:p>
    <w:sectPr>
      <w:pgSz w:w="12240" w:h="15840" w:orient="portrait"/>
      <w:pgMar w:top="680" w:right="1150" w:bottom="5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2026-08-21T16:42:43.910Z</dcterms:created>
  <dcterms:modified xsi:type="dcterms:W3CDTF">2026-08-21T16:42:43.910Z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