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2"/>
          <w:szCs w:val="32"/>
        </w:rPr>
        <w:t xml:space="preserve">YPF S.A. — Tender Offers for the 2027 and 2029 Notes</w:t>
      </w:r>
    </w:p>
    <w:p>
      <w:pPr>
        <w:spacing w:after="40"/>
      </w:pPr>
      <w:r>
        <w:rPr>
          <w:rFonts w:ascii="Arial" w:cs="Arial" w:eastAsia="Arial" w:hAnsi="Arial"/>
          <w:color w:val="595959"/>
          <w:sz w:val="22"/>
          <w:szCs w:val="22"/>
        </w:rPr>
        <w:t xml:space="preserve">Terms of the transaction and considerations for client participation</w:t>
      </w:r>
    </w:p>
    <w:p>
      <w:pPr>
        <w:pBdr>
          <w:bottom w:val="single" w:color="E60000" w:sz="12" w:space="6"/>
        </w:pBdr>
        <w:spacing w:after="200"/>
      </w:pPr>
      <w:r>
        <w:rPr>
          <w:rFonts w:ascii="Arial" w:cs="Arial" w:eastAsia="Arial" w:hAnsi="Arial"/>
          <w:i/>
          <w:iCs/>
          <w:color w:val="595959"/>
          <w:sz w:val="18"/>
          <w:szCs w:val="18"/>
        </w:rPr>
        <w:t xml:space="preserve">10 September 2026  |  Internal working note  |  Tender expires 16 September 2026</w:t>
      </w:r>
    </w:p>
    <w:p>
      <w:pPr>
        <w:pStyle w:val="Heading1"/>
        <w:pBdr>
          <w:bottom w:val="single" w:color="E60000" w:sz="6" w:space="4"/>
        </w:pBdr>
        <w:spacing w:after="140" w:before="320"/>
      </w:pPr>
      <w:r>
        <w:rPr>
          <w:rFonts w:ascii="Arial" w:cs="Arial" w:eastAsia="Arial" w:hAnsi="Arial"/>
          <w:b/>
          <w:bCs/>
          <w:color w:val="000000"/>
          <w:sz w:val="24"/>
          <w:szCs w:val="24"/>
        </w:rPr>
        <w:t xml:space="preserve">Summary</w:t>
      </w:r>
    </w:p>
    <w:p>
      <w:pPr>
        <w:spacing w:after="120" w:line="264"/>
      </w:pPr>
      <w:r>
        <w:rPr>
          <w:rFonts w:ascii="Arial" w:cs="Arial" w:eastAsia="Arial" w:hAnsi="Arial"/>
          <w:b w:val="false"/>
          <w:bCs w:val="false"/>
          <w:i w:val="false"/>
          <w:iCs w:val="false"/>
          <w:color w:val="000000"/>
          <w:sz w:val="20"/>
          <w:szCs w:val="20"/>
        </w:rPr>
        <w:t xml:space="preserve">YPF has launched a cash tender for its 6.950% notes due July 2027 and its 2.500%/9.000% step-up amortizing notes due 2029, funded by a new US$1.2bn 7.550% June 2035 issue that priced on 10 September. The cap was doubled to US$1.0bn on pricing day, which is enough to retire the entire 2027 line and roughly half the 2029s. This is a cash exit, not an exchange — tendering holders receive cash, not new paper, and are under no obligation to roll into the 2035s.</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For 2027 holders: </w:t>
      </w:r>
      <w:r>
        <w:rPr>
          <w:rFonts w:ascii="Arial" w:cs="Arial" w:eastAsia="Arial" w:hAnsi="Arial"/>
          <w:b w:val="false"/>
          <w:bCs w:val="false"/>
          <w:i w:val="false"/>
          <w:iCs w:val="false"/>
          <w:color w:val="000000"/>
          <w:sz w:val="20"/>
          <w:szCs w:val="20"/>
        </w:rPr>
        <w:t xml:space="preserve">the offer looks generous relative to holding to maturity, and Priority Level 1 plus the enlarged cap make full acceptance without proration very likely. This is the cleaner decision of the two.</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For 2029 holders: </w:t>
      </w:r>
      <w:r>
        <w:rPr>
          <w:rFonts w:ascii="Arial" w:cs="Arial" w:eastAsia="Arial" w:hAnsi="Arial"/>
          <w:b w:val="false"/>
          <w:bCs w:val="false"/>
          <w:i w:val="false"/>
          <w:iCs w:val="false"/>
          <w:color w:val="000000"/>
          <w:sz w:val="20"/>
          <w:szCs w:val="20"/>
        </w:rPr>
        <w:t xml:space="preserve">the case is less clear. The consideration is a smaller give-up against a 9.000% running coupon, and Priority Level 2 means partial fills are a realistic outcome.</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For new money: </w:t>
      </w:r>
      <w:r>
        <w:rPr>
          <w:rFonts w:ascii="Arial" w:cs="Arial" w:eastAsia="Arial" w:hAnsi="Arial"/>
          <w:b w:val="false"/>
          <w:bCs w:val="false"/>
          <w:i w:val="false"/>
          <w:iCs w:val="false"/>
          <w:color w:val="000000"/>
          <w:sz w:val="20"/>
          <w:szCs w:val="20"/>
        </w:rPr>
        <w:t xml:space="preserve">the 2035s carry a visible new-issue concession, but 8.75 years of bullet duration puts the full October 2027 Argentine electoral cycle inside the holding period.</w:t>
      </w:r>
    </w:p>
    <w:p>
      <w:pPr>
        <w:spacing w:after="80" w:line="264"/>
      </w:pPr>
      <w:r>
        <w:rPr>
          <w:rFonts w:ascii="Arial" w:cs="Arial" w:eastAsia="Arial" w:hAnsi="Arial"/>
          <w:b w:val="false"/>
          <w:bCs w:val="false"/>
          <w:i/>
          <w:iCs/>
          <w:color w:val="595959"/>
          <w:sz w:val="20"/>
          <w:szCs w:val="20"/>
        </w:rPr>
        <w:t xml:space="preserve">Every price conclusion below needs to be checked against live secondary bids before it goes to a client. Those levels are not in this note.</w:t>
      </w:r>
    </w:p>
    <w:p>
      <w:pPr>
        <w:pStyle w:val="Heading1"/>
        <w:pBdr>
          <w:bottom w:val="single" w:color="E60000" w:sz="6" w:space="4"/>
        </w:pBdr>
        <w:spacing w:after="140" w:before="320"/>
      </w:pPr>
      <w:r>
        <w:rPr>
          <w:rFonts w:ascii="Arial" w:cs="Arial" w:eastAsia="Arial" w:hAnsi="Arial"/>
          <w:b/>
          <w:bCs/>
          <w:color w:val="000000"/>
          <w:sz w:val="24"/>
          <w:szCs w:val="24"/>
        </w:rPr>
        <w:t xml:space="preserve">1. What YPF announced</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7 September 2026 — </w:t>
      </w:r>
      <w:r>
        <w:rPr>
          <w:rFonts w:ascii="Arial" w:cs="Arial" w:eastAsia="Arial" w:hAnsi="Arial"/>
          <w:b w:val="false"/>
          <w:bCs w:val="false"/>
          <w:i w:val="false"/>
          <w:iCs w:val="false"/>
          <w:color w:val="000000"/>
          <w:sz w:val="20"/>
          <w:szCs w:val="20"/>
        </w:rPr>
        <w:t xml:space="preserve">YPF commenced two cash tender offers for the 6.950% Class LIII notes due 2027 and the 2.500%/9.000% step-up amortizing Class XVII notes due 2029, capped at an aggregate US$500mn maximum purchase price excluding accrued interest. The offers were made conditional on YPF completing a concurrent new notes offering (Class XLIV) sufficient to fund them.</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9 September 2026 — </w:t>
      </w:r>
      <w:r>
        <w:rPr>
          <w:rFonts w:ascii="Arial" w:cs="Arial" w:eastAsia="Arial" w:hAnsi="Arial"/>
          <w:b w:val="false"/>
          <w:bCs w:val="false"/>
          <w:i w:val="false"/>
          <w:iCs w:val="false"/>
          <w:color w:val="000000"/>
          <w:sz w:val="20"/>
          <w:szCs w:val="20"/>
        </w:rPr>
        <w:t xml:space="preserve">YPF raised the Maximum Purchase Price from US$500mn to US$1.0bn in aggregate, excluding accrued interest. No other terms changed, and holders who had already tendered were not required to re-tender.</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10 September 2026 — </w:t>
      </w:r>
      <w:r>
        <w:rPr>
          <w:rFonts w:ascii="Arial" w:cs="Arial" w:eastAsia="Arial" w:hAnsi="Arial"/>
          <w:b w:val="false"/>
          <w:bCs w:val="false"/>
          <w:i w:val="false"/>
          <w:iCs w:val="false"/>
          <w:color w:val="000000"/>
          <w:sz w:val="20"/>
          <w:szCs w:val="20"/>
        </w:rPr>
        <w:t xml:space="preserve">YPF priced US$1.2bn of 7.550% senior unsecured notes due June 2035 at a 7.85% yield and an issue price of 98.075, with settlement expected 18 September. Proceeds fund the tenders, with the balance for general corporate purposes.</w:t>
      </w:r>
    </w:p>
    <w:p>
      <w:pPr>
        <w:spacing w:after="140" w:line="264"/>
      </w:pPr>
      <w:r>
        <w:rPr>
          <w:rFonts w:ascii="Arial" w:cs="Arial" w:eastAsia="Arial" w:hAnsi="Arial"/>
          <w:b w:val="false"/>
          <w:bCs w:val="false"/>
          <w:i w:val="false"/>
          <w:iCs w:val="false"/>
          <w:color w:val="000000"/>
          <w:sz w:val="20"/>
          <w:szCs w:val="20"/>
        </w:rPr>
        <w:t xml:space="preserve">With the new deal priced, the funding condition attached to the tenders is effectively satisfied.</w:t>
      </w:r>
    </w:p>
    <w:p>
      <w:pPr>
        <w:pStyle w:val="Heading1"/>
        <w:pBdr>
          <w:bottom w:val="single" w:color="E60000" w:sz="6" w:space="4"/>
        </w:pBdr>
        <w:spacing w:after="140" w:before="320"/>
      </w:pPr>
      <w:r>
        <w:rPr>
          <w:rFonts w:ascii="Arial" w:cs="Arial" w:eastAsia="Arial" w:hAnsi="Arial"/>
          <w:b/>
          <w:bCs/>
          <w:color w:val="000000"/>
          <w:sz w:val="24"/>
          <w:szCs w:val="24"/>
        </w:rPr>
        <w:t xml:space="preserve">2. Tender terms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2200"/>
        <w:gridCol w:w="1500"/>
        <w:gridCol w:w="2980"/>
      </w:tblGrid>
      <w:tr>
        <w:trPr>
          <w:tblHeader/>
        </w:trPr>
        <w:tc>
          <w:tcPr>
            <w:tcW w:type="dxa" w:w="3400"/>
            <w:shd w:fill="E60000" w:color="auto" w:val="clear"/>
            <w:tcMar>
              <w:top w:type="dxa" w:w="80"/>
              <w:left w:type="dxa" w:w="110"/>
              <w:bottom w:type="dxa" w:w="80"/>
              <w:right w:type="dxa" w:w="110"/>
            </w:tcMar>
          </w:tcPr>
          <w:p>
            <w:pPr>
              <w:spacing w:after="0" w:line="240"/>
            </w:pPr>
            <w:r>
              <w:rPr>
                <w:rFonts w:ascii="Arial" w:cs="Arial" w:eastAsia="Arial" w:hAnsi="Arial"/>
                <w:b/>
                <w:bCs/>
                <w:color w:val="FFFFFF"/>
                <w:sz w:val="18"/>
                <w:szCs w:val="18"/>
              </w:rPr>
              <w:t xml:space="preserve">Security</w:t>
            </w:r>
          </w:p>
        </w:tc>
        <w:tc>
          <w:tcPr>
            <w:tcW w:type="dxa" w:w="2200"/>
            <w:shd w:fill="E60000" w:color="auto" w:val="clear"/>
            <w:tcMar>
              <w:top w:type="dxa" w:w="80"/>
              <w:left w:type="dxa" w:w="110"/>
              <w:bottom w:type="dxa" w:w="80"/>
              <w:right w:type="dxa" w:w="110"/>
            </w:tcMar>
          </w:tcPr>
          <w:p>
            <w:pPr>
              <w:spacing w:after="0" w:line="240"/>
            </w:pPr>
            <w:r>
              <w:rPr>
                <w:rFonts w:ascii="Arial" w:cs="Arial" w:eastAsia="Arial" w:hAnsi="Arial"/>
                <w:b/>
                <w:bCs/>
                <w:color w:val="FFFFFF"/>
                <w:sz w:val="18"/>
                <w:szCs w:val="18"/>
              </w:rPr>
              <w:t xml:space="preserve">Principal outstanding</w:t>
            </w:r>
          </w:p>
        </w:tc>
        <w:tc>
          <w:tcPr>
            <w:tcW w:type="dxa" w:w="1500"/>
            <w:shd w:fill="E60000" w:color="auto" w:val="clear"/>
            <w:tcMar>
              <w:top w:type="dxa" w:w="80"/>
              <w:left w:type="dxa" w:w="110"/>
              <w:bottom w:type="dxa" w:w="80"/>
              <w:right w:type="dxa" w:w="110"/>
            </w:tcMar>
          </w:tcPr>
          <w:p>
            <w:pPr>
              <w:spacing w:after="0" w:line="240"/>
              <w:jc w:val="center"/>
            </w:pPr>
            <w:r>
              <w:rPr>
                <w:rFonts w:ascii="Arial" w:cs="Arial" w:eastAsia="Arial" w:hAnsi="Arial"/>
                <w:b/>
                <w:bCs/>
                <w:color w:val="FFFFFF"/>
                <w:sz w:val="18"/>
                <w:szCs w:val="18"/>
              </w:rPr>
              <w:t xml:space="preserve">Priority</w:t>
            </w:r>
          </w:p>
        </w:tc>
        <w:tc>
          <w:tcPr>
            <w:tcW w:type="dxa" w:w="2980"/>
            <w:shd w:fill="E60000" w:color="auto" w:val="clear"/>
            <w:tcMar>
              <w:top w:type="dxa" w:w="80"/>
              <w:left w:type="dxa" w:w="110"/>
              <w:bottom w:type="dxa" w:w="80"/>
              <w:right w:type="dxa" w:w="110"/>
            </w:tcMar>
          </w:tcPr>
          <w:p>
            <w:pPr>
              <w:spacing w:after="0" w:line="240"/>
              <w:jc w:val="right"/>
            </w:pPr>
            <w:r>
              <w:rPr>
                <w:rFonts w:ascii="Arial" w:cs="Arial" w:eastAsia="Arial" w:hAnsi="Arial"/>
                <w:b/>
                <w:bCs/>
                <w:color w:val="FFFFFF"/>
                <w:sz w:val="18"/>
                <w:szCs w:val="18"/>
              </w:rPr>
              <w:t xml:space="preserve">Consideration per US$1,000</w:t>
            </w:r>
          </w:p>
        </w:tc>
      </w:tr>
      <w:tr>
        <w:tc>
          <w:tcPr>
            <w:tcW w:type="dxa" w:w="340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6.950% Senior Notes due 2027 (Class LIII)</w:t>
            </w:r>
          </w:p>
        </w:tc>
        <w:tc>
          <w:tcPr>
            <w:tcW w:type="dxa" w:w="220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US$643,428,000</w:t>
            </w:r>
          </w:p>
        </w:tc>
        <w:tc>
          <w:tcPr>
            <w:tcW w:type="dxa" w:w="1500"/>
            <w:tcMar>
              <w:top w:type="dxa" w:w="80"/>
              <w:left w:type="dxa" w:w="110"/>
              <w:bottom w:type="dxa" w:w="80"/>
              <w:right w:type="dxa" w:w="110"/>
            </w:tcMar>
          </w:tcPr>
          <w:p>
            <w:pPr>
              <w:spacing w:after="0" w:line="240"/>
              <w:jc w:val="center"/>
            </w:pPr>
            <w:r>
              <w:rPr>
                <w:rFonts w:ascii="Arial" w:cs="Arial" w:eastAsia="Arial" w:hAnsi="Arial"/>
                <w:b/>
                <w:bCs/>
                <w:color w:val="000000"/>
                <w:sz w:val="18"/>
                <w:szCs w:val="18"/>
              </w:rPr>
              <w:t xml:space="preserve">1</w:t>
            </w:r>
          </w:p>
        </w:tc>
        <w:tc>
          <w:tcPr>
            <w:tcW w:type="dxa" w:w="2980"/>
            <w:tcMar>
              <w:top w:type="dxa" w:w="80"/>
              <w:left w:type="dxa" w:w="110"/>
              <w:bottom w:type="dxa" w:w="80"/>
              <w:right w:type="dxa" w:w="110"/>
            </w:tcMar>
          </w:tcPr>
          <w:p>
            <w:pPr>
              <w:spacing w:after="0" w:line="240"/>
              <w:jc w:val="right"/>
            </w:pPr>
            <w:r>
              <w:rPr>
                <w:rFonts w:ascii="Arial" w:cs="Arial" w:eastAsia="Arial" w:hAnsi="Arial"/>
                <w:b/>
                <w:bCs/>
                <w:color w:val="000000"/>
                <w:sz w:val="18"/>
                <w:szCs w:val="18"/>
              </w:rPr>
              <w:t xml:space="preserve">US$1,017.50</w:t>
            </w:r>
          </w:p>
        </w:tc>
      </w:tr>
      <w:tr>
        <w:tc>
          <w:tcPr>
            <w:tcW w:type="dxa" w:w="340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2.500%/9.000% Step-Up Amortizing Notes due 2029 (Class XVII)</w:t>
            </w:r>
          </w:p>
        </w:tc>
        <w:tc>
          <w:tcPr>
            <w:tcW w:type="dxa" w:w="220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US$640,999,934</w:t>
            </w:r>
          </w:p>
        </w:tc>
        <w:tc>
          <w:tcPr>
            <w:tcW w:type="dxa" w:w="1500"/>
            <w:shd w:fill="F2F2F2" w:color="auto" w:val="clear"/>
            <w:tcMar>
              <w:top w:type="dxa" w:w="80"/>
              <w:left w:type="dxa" w:w="110"/>
              <w:bottom w:type="dxa" w:w="80"/>
              <w:right w:type="dxa" w:w="110"/>
            </w:tcMar>
          </w:tcPr>
          <w:p>
            <w:pPr>
              <w:spacing w:after="0" w:line="240"/>
              <w:jc w:val="center"/>
            </w:pPr>
            <w:r>
              <w:rPr>
                <w:rFonts w:ascii="Arial" w:cs="Arial" w:eastAsia="Arial" w:hAnsi="Arial"/>
                <w:b/>
                <w:bCs/>
                <w:color w:val="000000"/>
                <w:sz w:val="18"/>
                <w:szCs w:val="18"/>
              </w:rPr>
              <w:t xml:space="preserve">2</w:t>
            </w:r>
          </w:p>
        </w:tc>
        <w:tc>
          <w:tcPr>
            <w:tcW w:type="dxa" w:w="2980"/>
            <w:shd w:fill="F2F2F2" w:color="auto" w:val="clear"/>
            <w:tcMar>
              <w:top w:type="dxa" w:w="80"/>
              <w:left w:type="dxa" w:w="110"/>
              <w:bottom w:type="dxa" w:w="80"/>
              <w:right w:type="dxa" w:w="110"/>
            </w:tcMar>
          </w:tcPr>
          <w:p>
            <w:pPr>
              <w:spacing w:after="0" w:line="240"/>
              <w:jc w:val="right"/>
            </w:pPr>
            <w:r>
              <w:rPr>
                <w:rFonts w:ascii="Arial" w:cs="Arial" w:eastAsia="Arial" w:hAnsi="Arial"/>
                <w:b/>
                <w:bCs/>
                <w:color w:val="000000"/>
                <w:sz w:val="18"/>
                <w:szCs w:val="18"/>
              </w:rPr>
              <w:t xml:space="preserve">US$1,042.00</w:t>
            </w:r>
          </w:p>
        </w:tc>
      </w:tr>
    </w:tbl>
    <w:p>
      <w:pPr>
        <w:spacing w:after="140" w:line="264"/>
      </w:pPr>
      <w:r>
        <w:rPr>
          <w:rFonts w:ascii="Arial" w:cs="Arial" w:eastAsia="Arial" w:hAnsi="Arial"/>
          <w:b w:val="false"/>
          <w:bCs w:val="false"/>
          <w:i w:val="false"/>
          <w:iCs w:val="false"/>
          <w:color w:val="595959"/>
          <w:sz w:val="16"/>
          <w:szCs w:val="16"/>
        </w:rPr>
        <w:t xml:space="preserve">The 2029 outstanding figure reflects the 0.85714 amortization factor applied to an original principal amount of US$747,833,257. Consideration is quoted per US$1,000 of current, post-amortization principal — a holder with US$1,000 of original face now holds US$857.14 of current principal.</w:t>
      </w:r>
    </w:p>
    <w:p>
      <w:pPr>
        <w:pStyle w:val="Heading2"/>
        <w:spacing w:after="100" w:before="220"/>
      </w:pPr>
      <w:r>
        <w:rPr>
          <w:rFonts w:ascii="Arial" w:cs="Arial" w:eastAsia="Arial" w:hAnsi="Arial"/>
          <w:b/>
          <w:bCs/>
          <w:color w:val="E60000"/>
          <w:sz w:val="21"/>
          <w:szCs w:val="21"/>
        </w:rPr>
        <w:t xml:space="preserve">Mechanics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Accrued and unpaid interest is paid in addition to the consideration, up to but excluding the settlement date.</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Expiration and withdrawal deadline are the same: 5:00 p.m. New York time on Wednesday 16 September 2026. There is no early-tender premium and no two-tier structure, so the only cost of waiting is proration risk.</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Settlement is expected on or around Friday 18 September 2026.</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Acceptance follows priority level, lowest number first, with proration within a level once the cap binds.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Dealer managers: BBVA, Itaú BBA, J.P. Morgan and Santander. Information and tender agent: Sodali &amp; Co. A wide group of Argentine local dealer managers is also engaged, including Balanz, Galicia, Macro, Puente and Cocos.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YPF, the dealer managers and the agents all state expressly that they make no recommendation on whether to tender and express no view on fairness. The decision sits entirely with the holder.</w:t>
      </w:r>
    </w:p>
    <w:p>
      <w:pPr>
        <w:pStyle w:val="Heading1"/>
        <w:pBdr>
          <w:bottom w:val="single" w:color="E60000" w:sz="6" w:space="4"/>
        </w:pBdr>
        <w:spacing w:after="140" w:before="320"/>
      </w:pPr>
      <w:r>
        <w:rPr>
          <w:rFonts w:ascii="Arial" w:cs="Arial" w:eastAsia="Arial" w:hAnsi="Arial"/>
          <w:b/>
          <w:bCs/>
          <w:color w:val="000000"/>
          <w:sz w:val="24"/>
          <w:szCs w:val="24"/>
        </w:rPr>
        <w:t xml:space="preserve">3. What the US$1.0bn cap actually retires</w:t>
      </w:r>
    </w:p>
    <w:p>
      <w:pPr>
        <w:spacing w:after="120" w:line="264"/>
      </w:pPr>
      <w:r>
        <w:rPr>
          <w:rFonts w:ascii="Arial" w:cs="Arial" w:eastAsia="Arial" w:hAnsi="Arial"/>
          <w:b w:val="false"/>
          <w:bCs w:val="false"/>
          <w:i w:val="false"/>
          <w:iCs w:val="false"/>
          <w:color w:val="000000"/>
          <w:sz w:val="20"/>
          <w:szCs w:val="20"/>
        </w:rPr>
        <w:t xml:space="preserve">The cap is expressed as a purchase price, not a principal amount, so the arithmetic runs through the consideration:</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Retiring the full US$643.4mn of 2027s at 101.75 consumes roughly US$654.7mn of the cap.</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residual of roughly US$345.3mn buys approximately US$331mn of 2029 principal at 104.20 — around 52% of the amount outstanding.</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Combined principal retirement is therefore in the region of US$975mn, against US$1.2bn of new issuance.</w:t>
      </w:r>
    </w:p>
    <w:p>
      <w:pPr>
        <w:spacing w:after="140" w:line="264"/>
      </w:pPr>
      <w:r>
        <w:rPr>
          <w:rFonts w:ascii="Arial" w:cs="Arial" w:eastAsia="Arial" w:hAnsi="Arial"/>
          <w:b w:val="false"/>
          <w:bCs w:val="false"/>
          <w:i w:val="false"/>
          <w:iCs w:val="false"/>
          <w:color w:val="000000"/>
          <w:sz w:val="20"/>
          <w:szCs w:val="20"/>
        </w:rPr>
        <w:t xml:space="preserve">On those numbers gross debt rises by roughly US$200mn, but the entire 2027 maturity is cleared and the 2029 line is roughly halved, with the replacement paper maturing in 2035. The economically meaningful outcome is the extension, not the small increase in quantum. Actual retirement depends on participation: if fewer than US$643mn of 2027s are tendered, more of the cap flows to the 2029s.</w:t>
      </w:r>
    </w:p>
    <w:p>
      <w:pPr>
        <w:pStyle w:val="Heading1"/>
        <w:pBdr>
          <w:bottom w:val="single" w:color="E60000" w:sz="6" w:space="4"/>
        </w:pBdr>
        <w:spacing w:after="140" w:before="320"/>
      </w:pPr>
      <w:r>
        <w:rPr>
          <w:rFonts w:ascii="Arial" w:cs="Arial" w:eastAsia="Arial" w:hAnsi="Arial"/>
          <w:b/>
          <w:bCs/>
          <w:color w:val="000000"/>
          <w:sz w:val="24"/>
          <w:szCs w:val="24"/>
        </w:rPr>
        <w:t xml:space="preserve">4. The new 2035 notes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7380"/>
      </w:tblGrid>
      <w:tr>
        <w:tc>
          <w:tcPr>
            <w:tcW w:type="dxa" w:w="270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Issuer / ratings</w:t>
            </w:r>
          </w:p>
        </w:tc>
        <w:tc>
          <w:tcPr>
            <w:tcW w:type="dxa" w:w="738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YPF S.A. — B1 / B / B-</w:t>
            </w:r>
          </w:p>
        </w:tc>
      </w:tr>
      <w:tr>
        <w:tc>
          <w:tcPr>
            <w:tcW w:type="dxa" w:w="270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Instrument</w:t>
            </w:r>
          </w:p>
        </w:tc>
        <w:tc>
          <w:tcPr>
            <w:tcW w:type="dxa" w:w="738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Senior unsecured notes, Class XLIV, 144A / Reg S</w:t>
            </w:r>
          </w:p>
        </w:tc>
      </w:tr>
      <w:tr>
        <w:tc>
          <w:tcPr>
            <w:tcW w:type="dxa" w:w="270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Size</w:t>
            </w:r>
          </w:p>
        </w:tc>
        <w:tc>
          <w:tcPr>
            <w:tcW w:type="dxa" w:w="738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US$1.2 billion</w:t>
            </w:r>
          </w:p>
        </w:tc>
      </w:tr>
      <w:tr>
        <w:tc>
          <w:tcPr>
            <w:tcW w:type="dxa" w:w="270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Maturity</w:t>
            </w:r>
          </w:p>
        </w:tc>
        <w:tc>
          <w:tcPr>
            <w:tcW w:type="dxa" w:w="738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18 June 2035, bullet — 8.75 years</w:t>
            </w:r>
          </w:p>
        </w:tc>
      </w:tr>
      <w:tr>
        <w:tc>
          <w:tcPr>
            <w:tcW w:type="dxa" w:w="270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Coupon</w:t>
            </w:r>
          </w:p>
        </w:tc>
        <w:tc>
          <w:tcPr>
            <w:tcW w:type="dxa" w:w="738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7.550%, semi-annual, 30/360</w:t>
            </w:r>
          </w:p>
        </w:tc>
      </w:tr>
      <w:tr>
        <w:tc>
          <w:tcPr>
            <w:tcW w:type="dxa" w:w="270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Yield / price</w:t>
            </w:r>
          </w:p>
        </w:tc>
        <w:tc>
          <w:tcPr>
            <w:tcW w:type="dxa" w:w="738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7.85% at an issue price of 98.075, from initial price thoughts in the low 8% area</w:t>
            </w:r>
          </w:p>
        </w:tc>
      </w:tr>
      <w:tr>
        <w:tc>
          <w:tcPr>
            <w:tcW w:type="dxa" w:w="270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Call schedule</w:t>
            </w:r>
          </w:p>
        </w:tc>
        <w:tc>
          <w:tcPr>
            <w:tcW w:type="dxa" w:w="738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Make-whole to 18 December 2030; then 103.775 from Dec 2030, 101.8875 from Dec 2031, par from Dec 2032</w:t>
            </w:r>
          </w:p>
        </w:tc>
      </w:tr>
      <w:tr>
        <w:tc>
          <w:tcPr>
            <w:tcW w:type="dxa" w:w="270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Settlement</w:t>
            </w:r>
          </w:p>
        </w:tc>
        <w:tc>
          <w:tcPr>
            <w:tcW w:type="dxa" w:w="738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18 September 2026</w:t>
            </w:r>
          </w:p>
        </w:tc>
      </w:tr>
      <w:tr>
        <w:tc>
          <w:tcPr>
            <w:tcW w:type="dxa" w:w="270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Use of proceeds</w:t>
            </w:r>
          </w:p>
        </w:tc>
        <w:tc>
          <w:tcPr>
            <w:tcW w:type="dxa" w:w="738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Fund the tenders; balance for general corporate purposes</w:t>
            </w:r>
          </w:p>
        </w:tc>
      </w:tr>
    </w:tbl>
    <w:p>
      <w:pPr>
        <w:pStyle w:val="Heading1"/>
        <w:pBdr>
          <w:bottom w:val="single" w:color="E60000" w:sz="6" w:space="4"/>
        </w:pBdr>
        <w:spacing w:after="140" w:before="320"/>
      </w:pPr>
      <w:r>
        <w:rPr>
          <w:rFonts w:ascii="Arial" w:cs="Arial" w:eastAsia="Arial" w:hAnsi="Arial"/>
          <w:b/>
          <w:bCs/>
          <w:color w:val="000000"/>
          <w:sz w:val="24"/>
          <w:szCs w:val="24"/>
        </w:rPr>
        <w:t xml:space="preserve">5. Assessment</w:t>
      </w:r>
    </w:p>
    <w:p>
      <w:pPr>
        <w:pStyle w:val="Heading2"/>
        <w:spacing w:after="100" w:before="220"/>
      </w:pPr>
      <w:r>
        <w:rPr>
          <w:rFonts w:ascii="Arial" w:cs="Arial" w:eastAsia="Arial" w:hAnsi="Arial"/>
          <w:b/>
          <w:bCs/>
          <w:color w:val="E60000"/>
          <w:sz w:val="21"/>
          <w:szCs w:val="21"/>
        </w:rPr>
        <w:t xml:space="preserve">Holders of the 2027s — the offer looks rich against holding to maturity</w:t>
      </w:r>
    </w:p>
    <w:p>
      <w:pPr>
        <w:spacing w:after="120" w:line="264"/>
      </w:pPr>
      <w:r>
        <w:rPr>
          <w:rFonts w:ascii="Arial" w:cs="Arial" w:eastAsia="Arial" w:hAnsi="Arial"/>
          <w:b w:val="false"/>
          <w:bCs w:val="false"/>
          <w:i w:val="false"/>
          <w:iCs w:val="false"/>
          <w:color w:val="000000"/>
          <w:sz w:val="20"/>
          <w:szCs w:val="20"/>
        </w:rPr>
        <w:t xml:space="preserve">At 101.75 clean with a 6.950% coupon and roughly ten months to the 21 July 2027 maturity, a holder who declines the tender is implicitly accepting a yield in the region of 4.8% to maturity from that price. That is well inside where a B-rated Argentine corporate short line should clear. On a hold-to-maturity basis the consideration is therefore generous — a rough rule of thumb is that pricing this line at a 6.5% yield would put it closer to 100.4, so the tender is offering something on the order of a point and a bit above fair carry.</w:t>
      </w:r>
    </w:p>
    <w:p>
      <w:pPr>
        <w:spacing w:after="120" w:line="264"/>
      </w:pPr>
      <w:r>
        <w:rPr>
          <w:rFonts w:ascii="Arial" w:cs="Arial" w:eastAsia="Arial" w:hAnsi="Arial"/>
          <w:b w:val="false"/>
          <w:bCs w:val="false"/>
          <w:i/>
          <w:iCs/>
          <w:color w:val="595959"/>
          <w:sz w:val="20"/>
          <w:szCs w:val="20"/>
        </w:rPr>
        <w:t xml:space="preserve">This arithmetic is approximate. It assumes a settlement date of 18 September, ignores day-count precision, and — critically — says nothing about where the bond is actually bid in the secondary market today. If the line has already traded up to or through the tender price, the premium disappears and the decision becomes a liquidity question rather than a value one.</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Priority Level 1 combined with a cap large enough to absorb the whole line makes full acceptance without proration the likely outcome. A holder wanting out can reasonably expect to get out in full.</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offer removes reinvestment friction: cash settles 18 September and the holder is free to redeploy anywhere, including but not limited to the 2035s.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counter-argument is simply that ten months of a 6.950% coupon in a credit whose trajectory is improving is not an unattractive place to sit, and a client with no better use for the cash may prefer to run it to maturity.</w:t>
      </w:r>
    </w:p>
    <w:p>
      <w:pPr>
        <w:pStyle w:val="Heading2"/>
        <w:spacing w:after="100" w:before="220"/>
      </w:pPr>
      <w:r>
        <w:rPr>
          <w:rFonts w:ascii="Arial" w:cs="Arial" w:eastAsia="Arial" w:hAnsi="Arial"/>
          <w:b/>
          <w:bCs/>
          <w:color w:val="E60000"/>
          <w:sz w:val="21"/>
          <w:szCs w:val="21"/>
        </w:rPr>
        <w:t xml:space="preserve">Holders of the 2029s — a genuinely closer call</w:t>
      </w:r>
    </w:p>
    <w:p>
      <w:pPr>
        <w:spacing w:after="120" w:line="264"/>
      </w:pPr>
      <w:r>
        <w:rPr>
          <w:rFonts w:ascii="Arial" w:cs="Arial" w:eastAsia="Arial" w:hAnsi="Arial"/>
          <w:b w:val="false"/>
          <w:bCs w:val="false"/>
          <w:i w:val="false"/>
          <w:iCs w:val="false"/>
          <w:color w:val="000000"/>
          <w:sz w:val="20"/>
          <w:szCs w:val="20"/>
        </w:rPr>
        <w:t xml:space="preserve">The 2029s pay a 9.000% running coupon after the step-up and amortize, so the give-up from tendering is larger than the headline four-point premium suggests. Against a shortening weighted-average life, 104.20 implies a yield in the high-6% area on plausible amortization assumptions — a real but much thinner concession than on the 2027s.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Pull the actual remaining amortization schedule before running this comparison. The implied yield is sensitive to the timing of the remaining principal payments, and that schedule is not reproduced in the tender documents summarised here.</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Priority Level 2 with capacity for roughly half the line means proration is a live possibility. A client who tenders in full should be prepared to be left holding a residual position, which matters for anyone tendering in order to exit the credit entirely rather than to take profit.</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Holders who want to stay in YPF but shorten exposure to the electoral window may find that partial acceptance is an acceptable outcome in itself.</w:t>
      </w:r>
    </w:p>
    <w:p>
      <w:pPr>
        <w:pStyle w:val="Heading2"/>
        <w:spacing w:after="100" w:before="220"/>
      </w:pPr>
      <w:r>
        <w:rPr>
          <w:rFonts w:ascii="Arial" w:cs="Arial" w:eastAsia="Arial" w:hAnsi="Arial"/>
          <w:b/>
          <w:bCs/>
          <w:color w:val="E60000"/>
          <w:sz w:val="21"/>
          <w:szCs w:val="21"/>
        </w:rPr>
        <w:t xml:space="preserve">The 2035s as a reinvestment — concession is real, duration is the question</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new line priced with a visible new-issue concession, trading on the order of 30bp above YPF's own curve on a yield-to-worst basis in early secondary. That is the attraction.</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Against that, 8.75 years of bullet duration places the October 2027 Argentine presidential election squarely inside the holding period, and the first call is not until December 2030. A wealth management client rolling out of a 2027 maturity into 2035 paper is making a very different risk decision from the one they made when they bought the short line, and it should be framed that way rather than as a like-for-like roll.</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98.075 issue price gives a modest discount-to-par cushion and slightly improves the profile for clients sensitive to income versus accretion.</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For clients who want the credit but not the duration, the shorter existing lines are the more natural expression. Recent third-party work favours the 8.250% 2034s as a shorter-duration alternative and has moved away from the 9.500% 2031s on valuation grounds.</w:t>
      </w:r>
    </w:p>
    <w:p>
      <w:pPr>
        <w:pStyle w:val="Heading1"/>
        <w:pBdr>
          <w:bottom w:val="single" w:color="E60000" w:sz="6" w:space="4"/>
        </w:pBdr>
        <w:spacing w:after="140" w:before="320"/>
      </w:pPr>
      <w:r>
        <w:rPr>
          <w:rFonts w:ascii="Arial" w:cs="Arial" w:eastAsia="Arial" w:hAnsi="Arial"/>
          <w:b/>
          <w:bCs/>
          <w:color w:val="000000"/>
          <w:sz w:val="24"/>
          <w:szCs w:val="24"/>
        </w:rPr>
        <w:t xml:space="preserve">6. Quick guide — tender or hold</w:t>
      </w:r>
    </w:p>
    <w:p>
      <w:pPr>
        <w:spacing w:after="120" w:line="264"/>
      </w:pPr>
      <w:r>
        <w:rPr>
          <w:rFonts w:ascii="Arial" w:cs="Arial" w:eastAsia="Arial" w:hAnsi="Arial"/>
          <w:b w:val="false"/>
          <w:bCs w:val="false"/>
          <w:i w:val="false"/>
          <w:iCs w:val="false"/>
          <w:color w:val="000000"/>
          <w:sz w:val="20"/>
          <w:szCs w:val="20"/>
        </w:rPr>
        <w:t xml:space="preserve">A simplified read of the same conclusions. Each still assumes the secondary levels have been checked.</w:t>
      </w:r>
    </w:p>
    <w:p>
      <w:pPr>
        <w:pStyle w:val="Heading2"/>
        <w:spacing w:after="100" w:before="220"/>
      </w:pPr>
      <w:r>
        <w:rPr>
          <w:rFonts w:ascii="Arial" w:cs="Arial" w:eastAsia="Arial" w:hAnsi="Arial"/>
          <w:b/>
          <w:bCs/>
          <w:color w:val="E60000"/>
          <w:sz w:val="21"/>
          <w:szCs w:val="21"/>
        </w:rPr>
        <w:t xml:space="preserve">Holders of the 2027s</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Tender if </w:t>
      </w:r>
      <w:r>
        <w:rPr>
          <w:rFonts w:ascii="Arial" w:cs="Arial" w:eastAsia="Arial" w:hAnsi="Arial"/>
          <w:b w:val="false"/>
          <w:bCs w:val="false"/>
          <w:i w:val="false"/>
          <w:iCs w:val="false"/>
          <w:color w:val="000000"/>
          <w:sz w:val="20"/>
          <w:szCs w:val="20"/>
        </w:rPr>
        <w:t xml:space="preserve">the bond is bid below 101.75, or you simply want the cash and a clean exit — acceptance in full is very likely.</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Hold if </w:t>
      </w:r>
      <w:r>
        <w:rPr>
          <w:rFonts w:ascii="Arial" w:cs="Arial" w:eastAsia="Arial" w:hAnsi="Arial"/>
          <w:b w:val="false"/>
          <w:bCs w:val="false"/>
          <w:i w:val="false"/>
          <w:iCs w:val="false"/>
          <w:color w:val="000000"/>
          <w:sz w:val="20"/>
          <w:szCs w:val="20"/>
        </w:rPr>
        <w:t xml:space="preserve">the bond is already bid at or above 101.75, or you are content to run ten more months of a 6.950% coupon and have no better use for the proceeds.</w:t>
      </w:r>
    </w:p>
    <w:p>
      <w:pPr>
        <w:pStyle w:val="Heading2"/>
        <w:spacing w:after="100" w:before="220"/>
      </w:pPr>
      <w:r>
        <w:rPr>
          <w:rFonts w:ascii="Arial" w:cs="Arial" w:eastAsia="Arial" w:hAnsi="Arial"/>
          <w:b/>
          <w:bCs/>
          <w:color w:val="E60000"/>
          <w:sz w:val="21"/>
          <w:szCs w:val="21"/>
        </w:rPr>
        <w:t xml:space="preserve">Holders of the 2029s</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Tender if </w:t>
      </w:r>
      <w:r>
        <w:rPr>
          <w:rFonts w:ascii="Arial" w:cs="Arial" w:eastAsia="Arial" w:hAnsi="Arial"/>
          <w:b w:val="false"/>
          <w:bCs w:val="false"/>
          <w:i w:val="false"/>
          <w:iCs w:val="false"/>
          <w:color w:val="000000"/>
          <w:sz w:val="20"/>
          <w:szCs w:val="20"/>
        </w:rPr>
        <w:t xml:space="preserve">you want to reduce Argentine exposure ahead of the October 2027 election, or you are taking profit on the four-point premium and can live with a partial fill.</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Hold if </w:t>
      </w:r>
      <w:r>
        <w:rPr>
          <w:rFonts w:ascii="Arial" w:cs="Arial" w:eastAsia="Arial" w:hAnsi="Arial"/>
          <w:b w:val="false"/>
          <w:bCs w:val="false"/>
          <w:i w:val="false"/>
          <w:iCs w:val="false"/>
          <w:color w:val="000000"/>
          <w:sz w:val="20"/>
          <w:szCs w:val="20"/>
        </w:rPr>
        <w:t xml:space="preserve">the 9.000% running coupon is doing the work you want, or you need a complete exit — proration at Priority Level 2 may leave you with a stub position either way.</w:t>
      </w:r>
    </w:p>
    <w:p>
      <w:pPr>
        <w:pStyle w:val="Heading2"/>
        <w:spacing w:after="100" w:before="220"/>
      </w:pPr>
      <w:r>
        <w:rPr>
          <w:rFonts w:ascii="Arial" w:cs="Arial" w:eastAsia="Arial" w:hAnsi="Arial"/>
          <w:b/>
          <w:bCs/>
          <w:color w:val="E60000"/>
          <w:sz w:val="21"/>
          <w:szCs w:val="21"/>
        </w:rPr>
        <w:t xml:space="preserve">Clients considering the new 2035s</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Buy if </w:t>
      </w:r>
      <w:r>
        <w:rPr>
          <w:rFonts w:ascii="Arial" w:cs="Arial" w:eastAsia="Arial" w:hAnsi="Arial"/>
          <w:b w:val="false"/>
          <w:bCs w:val="false"/>
          <w:i w:val="false"/>
          <w:iCs w:val="false"/>
          <w:color w:val="000000"/>
          <w:sz w:val="20"/>
          <w:szCs w:val="20"/>
        </w:rPr>
        <w:t xml:space="preserve">you want the new-issue concession and can genuinely hold through the 2027 electoral cycle to the December 2030 first call and beyond.</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Look elsewhere if </w:t>
      </w:r>
      <w:r>
        <w:rPr>
          <w:rFonts w:ascii="Arial" w:cs="Arial" w:eastAsia="Arial" w:hAnsi="Arial"/>
          <w:b w:val="false"/>
          <w:bCs w:val="false"/>
          <w:i w:val="false"/>
          <w:iCs w:val="false"/>
          <w:color w:val="000000"/>
          <w:sz w:val="20"/>
          <w:szCs w:val="20"/>
        </w:rPr>
        <w:t xml:space="preserve">duration is the constraint — the shorter existing lines are the better expression of the same credit view.</w:t>
      </w:r>
    </w:p>
    <w:p>
      <w:pPr>
        <w:pStyle w:val="Heading1"/>
        <w:pBdr>
          <w:bottom w:val="single" w:color="E60000" w:sz="6" w:space="4"/>
        </w:pBdr>
        <w:spacing w:after="140" w:before="320"/>
      </w:pPr>
      <w:r>
        <w:rPr>
          <w:rFonts w:ascii="Arial" w:cs="Arial" w:eastAsia="Arial" w:hAnsi="Arial"/>
          <w:b/>
          <w:bCs/>
          <w:color w:val="000000"/>
          <w:sz w:val="24"/>
          <w:szCs w:val="24"/>
        </w:rPr>
        <w:t xml:space="preserve">7. Credit read</w:t>
      </w:r>
    </w:p>
    <w:p>
      <w:pPr>
        <w:spacing w:after="120" w:line="264"/>
      </w:pPr>
      <w:r>
        <w:rPr>
          <w:rFonts w:ascii="Arial" w:cs="Arial" w:eastAsia="Arial" w:hAnsi="Arial"/>
          <w:b w:val="false"/>
          <w:bCs w:val="false"/>
          <w:i w:val="false"/>
          <w:iCs w:val="false"/>
          <w:color w:val="000000"/>
          <w:sz w:val="20"/>
          <w:szCs w:val="20"/>
        </w:rPr>
        <w:t xml:space="preserve">The transaction is credit-positive, and more so after the cap increase than at launch. Clearing the 2027 maturity in full and roughly halving the 2029s removes the near-term refinancing wall ahead of the October 2027 election — precisely the window in which market access is least reliable for Argentine risk. Doubling the cap on pricing day also signals that both the new deal and the tender were comfortably subscribed.</w:t>
      </w:r>
    </w:p>
    <w:p>
      <w:pPr>
        <w:spacing w:after="140" w:line="264"/>
      </w:pPr>
      <w:r>
        <w:rPr>
          <w:rFonts w:ascii="Arial" w:cs="Arial" w:eastAsia="Arial" w:hAnsi="Arial"/>
          <w:b w:val="false"/>
          <w:bCs w:val="false"/>
          <w:i w:val="false"/>
          <w:iCs w:val="false"/>
          <w:color w:val="000000"/>
          <w:sz w:val="20"/>
          <w:szCs w:val="20"/>
        </w:rPr>
        <w:t xml:space="preserve">The backdrop supports it. Argentine energy issuers tied to Vaca Muerta have had steady access through 2026 while the sovereign has not, and S&amp;P's June upgrade leaned explicitly on the energy trade surplus as a structural credit argument. YPF's own cash generation has improved materially year on year. None of that removes the political risk in an eight-and-a-half-year instrument; it does support the view that the issuer's trajectory is the right way round.</w:t>
      </w:r>
    </w:p>
    <w:p>
      <w:pPr>
        <w:pStyle w:val="Heading1"/>
        <w:pBdr>
          <w:bottom w:val="single" w:color="E60000" w:sz="6" w:space="4"/>
        </w:pBdr>
        <w:spacing w:after="140" w:before="320"/>
      </w:pPr>
      <w:r>
        <w:rPr>
          <w:rFonts w:ascii="Arial" w:cs="Arial" w:eastAsia="Arial" w:hAnsi="Arial"/>
          <w:b/>
          <w:bCs/>
          <w:color w:val="000000"/>
          <w:sz w:val="24"/>
          <w:szCs w:val="24"/>
        </w:rPr>
        <w:t xml:space="preserve">8. Before this goes to clients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Live secondary bids on both lines against the tender consideration. Every valuation conclusion above is contingent on this and none of it should be repeated to a client without it.</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The 2029 remaining amortization schedule, to firm up the implied yield and weighted-average life.</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Custodian and nominee cut-offs. These typically fall a day or more ahead of the 5:00 p.m. New York deadline on 16 September. With four business days left, this is the binding practical constraint, not the official expiration.</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Eligibility. The notes are 144A / Reg S and the offer is not being made in jurisdictions where it would be non-compliant; confirm client eligibility before soliciting instructions.</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Suitability documentation for anyone rolling from a 2027 maturity into 2035 duration — the risk profile change is substantial and should be evidenced.</w:t>
      </w:r>
    </w:p>
    <w:p>
      <w:pPr>
        <w:pStyle w:val="ListParagraph"/>
        <w:numPr>
          <w:ilvl w:val="0"/>
          <w:numId w:val="2"/>
        </w:numPr>
        <w:spacing w:after="80" w:line="264"/>
      </w:pPr>
      <w:r>
        <w:rPr>
          <w:rFonts w:ascii="Arial" w:cs="Arial" w:eastAsia="Arial" w:hAnsi="Arial"/>
          <w:b w:val="false"/>
          <w:bCs w:val="false"/>
          <w:i w:val="false"/>
          <w:iCs w:val="false"/>
          <w:color w:val="000000"/>
          <w:sz w:val="20"/>
          <w:szCs w:val="20"/>
        </w:rPr>
        <w:t xml:space="preserve">Internal review. This note is a working summary, not a published view, and has not been through the usual process.</w:t>
      </w:r>
    </w:p>
    <w:p>
      <w:pPr>
        <w:pStyle w:val="Heading1"/>
        <w:pBdr>
          <w:bottom w:val="single" w:color="E60000" w:sz="6" w:space="4"/>
        </w:pBdr>
        <w:spacing w:after="140" w:before="320"/>
      </w:pPr>
      <w:r>
        <w:rPr>
          <w:rFonts w:ascii="Arial" w:cs="Arial" w:eastAsia="Arial" w:hAnsi="Arial"/>
          <w:b/>
          <w:bCs/>
          <w:color w:val="000000"/>
          <w:sz w:val="24"/>
          <w:szCs w:val="24"/>
        </w:rPr>
        <w:t xml:space="preserve">Sources and caveats</w:t>
      </w:r>
    </w:p>
    <w:p>
      <w:pPr>
        <w:spacing w:after="120" w:line="264"/>
      </w:pPr>
      <w:r>
        <w:rPr>
          <w:rFonts w:ascii="Arial" w:cs="Arial" w:eastAsia="Arial" w:hAnsi="Arial"/>
          <w:b w:val="false"/>
          <w:bCs w:val="false"/>
          <w:i w:val="false"/>
          <w:iCs w:val="false"/>
          <w:color w:val="000000"/>
          <w:sz w:val="18"/>
          <w:szCs w:val="18"/>
        </w:rPr>
        <w:t xml:space="preserve">Transaction terms are taken from YPF's press releases of 7 and 9 September 2026 as filed with the SEC on Form 6-K and lodged with the CNV, ByMA and A3 Mercados, and from third-party reporting of the 10 September pricing of the 2035 notes. The complete terms are set out only in the Offer to Purchase dated 7 September 2026, available from the information and tender agent; where this summary and that document differ, the Offer to Purchase governs.</w:t>
      </w:r>
    </w:p>
    <w:p>
      <w:pPr>
        <w:spacing w:after="120" w:line="264"/>
      </w:pPr>
      <w:r>
        <w:rPr>
          <w:rFonts w:ascii="Arial" w:cs="Arial" w:eastAsia="Arial" w:hAnsi="Arial"/>
          <w:b w:val="false"/>
          <w:bCs w:val="false"/>
          <w:i/>
          <w:iCs/>
          <w:color w:val="595959"/>
          <w:sz w:val="18"/>
          <w:szCs w:val="18"/>
        </w:rPr>
        <w:t xml:space="preserve">No live secondary market levels were available when this note was written. The yield arithmetic in Section 5 is illustrative and built on stated assumptions, not on observed prices. Nothing here is a recommendation to tender, to refrain from tendering, or to purchase any security.</w:t>
      </w:r>
    </w:p>
    <w:p>
      <w:pPr>
        <w:spacing w:after="0" w:before="360"/>
      </w:pPr>
    </w:p>
    <w:tbl>
      <w:tblPr>
        <w:tblW w:type="dxa" w:w="10080"/>
        <w:tblBorders>
          <w:top w:val="single" w:color="E60000" w:sz="18"/>
          <w:left w:val="single" w:color="E60000" w:sz="18"/>
          <w:bottom w:val="single" w:color="E60000" w:sz="18"/>
          <w:right w:val="single" w:color="E60000" w:sz="18"/>
          <w:insideH w:val="none" w:color="auto" w:sz="0"/>
          <w:insideV w:val="none" w:color="auto" w:sz="0"/>
        </w:tblBorders>
      </w:tblPr>
      <w:tblGrid>
        <w:gridCol w:w="10080"/>
      </w:tblGrid>
      <w:tr>
        <w:tc>
          <w:tcPr>
            <w:tcW w:type="dxa" w:w="10080"/>
            <w:tcMar>
              <w:top w:type="dxa" w:w="240"/>
              <w:left w:type="dxa" w:w="240"/>
              <w:bottom w:type="dxa" w:w="240"/>
              <w:right w:type="dxa" w:w="240"/>
            </w:tcMar>
          </w:tcPr>
          <w:p>
            <w:pPr>
              <w:spacing w:after="120" w:line="300"/>
              <w:jc w:val="center"/>
            </w:pPr>
            <w:r>
              <w:rPr>
                <w:rFonts w:ascii="Arial" w:cs="Arial" w:eastAsia="Arial" w:hAnsi="Arial"/>
                <w:b/>
                <w:bCs/>
                <w:color w:val="E60000"/>
                <w:sz w:val="28"/>
                <w:szCs w:val="28"/>
              </w:rPr>
              <w:t xml:space="preserve">INTERNAL DOCUMENT — NOT AN INVESTMENT RECOMMENDATION</w:t>
            </w:r>
          </w:p>
          <w:p>
            <w:pPr>
              <w:spacing w:after="0" w:line="280"/>
              <w:jc w:val="center"/>
            </w:pPr>
            <w:r>
              <w:rPr>
                <w:rFonts w:ascii="Arial" w:cs="Arial" w:eastAsia="Arial" w:hAnsi="Arial"/>
                <w:b/>
                <w:bCs/>
                <w:color w:val="E60000"/>
                <w:sz w:val="20"/>
                <w:szCs w:val="20"/>
              </w:rPr>
              <w:t xml:space="preserve">This note is an internal working summary prepared for discussion purposes only. It has not been reviewed or approved through the firm's research publication process, it is not a research report, and it must not be distributed to clients or any party outside the firm. Nothing in it constitutes investment advice or a recommendation to tender, to refrain from tendering, or to buy or sell any security. Any valuation conclusions are illustrative, rest on stated assumptions, and were prepared without live secondary market prices. The complete and governing terms of the transaction are set out solely in YPF's Offer to Purchase dated 7 September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2026-09-10T19:51:45.848Z</dcterms:created>
  <dcterms:modified xsi:type="dcterms:W3CDTF">2026-09-10T19:51:45.859Z</dcterms:modified>
</cp:coreProperties>
</file>

<file path=docProps/custom.xml><?xml version="1.0" encoding="utf-8"?>
<Properties xmlns="http://schemas.openxmlformats.org/officeDocument/2006/custom-properties" xmlns:vt="http://schemas.openxmlformats.org/officeDocument/2006/docPropsVTypes"/>
</file>