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E8B23">
      <w:pPr>
        <w:spacing w:before="0" w:after="40" w:line="276" w:lineRule="auto"/>
        <w:ind w:firstLine="0" w:firstLineChars="0"/>
        <w:jc w:val="center"/>
      </w:pPr>
      <w:r>
        <w:rPr>
          <w:rFonts w:ascii="Times New Roman" w:hAnsi="Times New Roman" w:eastAsia="黑体" w:cs="Times New Roman"/>
          <w:b/>
          <w:sz w:val="32"/>
        </w:rPr>
        <w:t>从词表不可分到门控结构中的目标维持：</w:t>
      </w:r>
    </w:p>
    <w:p w14:paraId="2C51E549">
      <w:pPr>
        <w:spacing w:before="40" w:after="40" w:line="276" w:lineRule="auto"/>
        <w:ind w:firstLine="0" w:firstLineChars="0"/>
        <w:jc w:val="center"/>
        <w:rPr>
          <w:rFonts w:hint="eastAsia" w:ascii="Times New Roman" w:hAnsi="Times New Roman" w:eastAsia="黑体" w:cs="Times New Roman"/>
          <w:b/>
          <w:sz w:val="32"/>
        </w:rPr>
      </w:pPr>
      <w:r>
        <w:rPr>
          <w:rFonts w:hint="eastAsia" w:ascii="Times New Roman" w:hAnsi="Times New Roman" w:eastAsia="黑体" w:cs="Times New Roman"/>
          <w:b/>
          <w:sz w:val="32"/>
        </w:rPr>
        <w:t>基于对一个面向现代主义离散情节线伴写系统的论证</w:t>
      </w:r>
    </w:p>
    <w:p w14:paraId="7CD96C90">
      <w:pPr>
        <w:spacing w:before="40" w:after="40" w:line="276" w:lineRule="auto"/>
        <w:ind w:firstLine="0" w:firstLineChars="0"/>
        <w:jc w:val="center"/>
      </w:pPr>
      <w:r>
        <w:rPr>
          <w:rFonts w:ascii="Times New Roman" w:hAnsi="Times New Roman" w:eastAsia="楷体" w:cs="Times New Roman"/>
          <w:b w:val="0"/>
          <w:sz w:val="24"/>
        </w:rPr>
        <w:t>李逾凡</w:t>
      </w:r>
    </w:p>
    <w:p w14:paraId="503E7DAE">
      <w:pPr>
        <w:spacing w:before="0" w:after="160" w:line="276" w:lineRule="auto"/>
        <w:ind w:firstLine="0" w:firstLineChars="0"/>
        <w:jc w:val="center"/>
      </w:pPr>
      <w:r>
        <w:rPr>
          <w:rFonts w:ascii="Times New Roman" w:hAnsi="Times New Roman" w:eastAsia="宋体" w:cs="Times New Roman"/>
          <w:b w:val="0"/>
          <w:sz w:val="18"/>
        </w:rPr>
        <w:t>西北工业大学航空学院，陕西 西安 710072</w:t>
      </w:r>
    </w:p>
    <w:p w14:paraId="2958491C">
      <w:pPr>
        <w:spacing w:before="160" w:after="60" w:line="276" w:lineRule="auto"/>
        <w:ind w:firstLine="0" w:firstLineChars="0"/>
        <w:jc w:val="left"/>
      </w:pPr>
      <w:r>
        <w:rPr>
          <w:rFonts w:ascii="Times New Roman" w:hAnsi="Times New Roman" w:eastAsia="黑体" w:cs="Times New Roman"/>
          <w:b/>
          <w:sz w:val="21"/>
        </w:rPr>
        <w:t>摘  要</w:t>
      </w:r>
    </w:p>
    <w:p w14:paraId="1434EA47">
      <w:pPr>
        <w:spacing w:before="0" w:after="60" w:line="300" w:lineRule="auto"/>
        <w:ind w:firstLine="420" w:firstLineChars="200"/>
        <w:jc w:val="both"/>
      </w:pPr>
      <w:r>
        <w:rPr>
          <w:rFonts w:ascii="Times New Roman" w:hAnsi="Times New Roman" w:eastAsia="宋体" w:cs="Times New Roman"/>
          <w:b w:val="0"/>
          <w:sz w:val="21"/>
        </w:rPr>
        <w:t xml:space="preserve">关于“系统理解作者”或“系统已有目标”的主张，常常超出现有证据所能支持的范围。本文的出发点是一个更苛刻的命题——懂人／知音共址：系统在行为上与人站在同一个地址，既知道对方在指什么，也知道对方接住了。为使它可以检验，本文把它拆成向内与向外两半。向内的一半限定为：在非神创约束下——适应度既不写入目标内容，也不为内部状态的稳定直接付费——当环境提示的目标线索消失之后，内部状态是否仍承载该目标并在因果上影响行为。为此，本文设计并预注册了一套验收协议：每个条件固定 8 个科学种子，组通过约定为至少 7/8，并同时报告 Wilson 95% 区间；泄漏超界的种子记为无效（VOID）且仍计入分母；证据按预注册确认、披露偏离、事后（†）与探索性四层报告。在玩具切换任务上，通用门控循环网络仅以世界回报经行动者–评论者学习，8 个科学种子全部通过验收（8/8，Wilson [0.676, 1.000]）；同一任务与预算下，经有限超参数搜索的无门循环网络为 0/8（†），修正更新步长与个体选择后的进化策略在简单任务上为 8/8、在主任务上为 4/8（†）。迁移到加压网格后，同一门控学习规则为 1/8，在预注册的预算上限内升至 3/8（†），低于组门，仅构成存在性证据，主要失败模式之一是连续线索下写通道缺乏特异性。作为研究动机，作者本人弱情节语料上的词表特征未能复现“问题驱动/故事驱动”代理轴（同语言与跨语言曲线下面积分别为 0.489 与 0.523）；在合成关系任务上配平 token id 位置之后，涌现阈值对表面符号近似不变（对数变异系数 0.0110），仅作该任务上的旁证。向外的一半在共享可寻址坐标系上进行，把大语言模型当作读者：其判断是解释，计数只作粗筛，以逐句理由为准。不下达命令时，读者引出并读对了一段对话中的互认，并分开了内容不同的对照；此前命令加压下出现的双停靠，经同字节对照确认来自命令本身（对照 0/3，加压 3/3）。缺口在态度层：读者把话题连续当作所指承接。在作者本人的一场真实对话上，读者在完整语境中读出了确认的瞬间与注意力不在场时的空确认，同一句话脱离语境后判断反转；而一句回复同时递出的新关系性出价，在两组各三次重复中都未被看见（0/3，0/3）——读者给每个话轮只分配一个角色。这一稳定盲点正是共址重新开出之处，本文把它作为伴写系统动作边界的实证。四项研究共享假阳性控制要求，但不是对同一假设的重复检验。结果表明，该协议能够在目标保持与因果使用两个层次上给出可证伪且有界的判决；内容层的行为共址已经立住，态度层的缺口有了可检验的位置；自主设定目标的协议未运行，保持关闭。</w:t>
      </w:r>
    </w:p>
    <w:p w14:paraId="0D43A396">
      <w:pPr>
        <w:spacing w:before="60" w:after="120" w:line="276" w:lineRule="auto"/>
        <w:ind w:firstLine="0" w:firstLineChars="0"/>
      </w:pPr>
      <w:r>
        <w:rPr>
          <w:rFonts w:ascii="Times New Roman" w:hAnsi="Times New Roman" w:eastAsia="宋体" w:cs="Times New Roman"/>
          <w:b w:val="0"/>
          <w:sz w:val="21"/>
        </w:rPr>
        <w:t xml:space="preserve">关键词：预注册；验收协议；非神创论；目标维持；知音共址；共享可寻址；人机共写；门控循环网络；假阳性控制</w:t>
      </w:r>
    </w:p>
    <w:p w14:paraId="73A04A30">
      <w:pPr>
        <w:spacing w:before="160" w:after="60" w:line="276" w:lineRule="auto"/>
        <w:ind w:firstLine="0" w:firstLineChars="0"/>
        <w:jc w:val="left"/>
      </w:pPr>
      <w:r>
        <w:rPr>
          <w:rFonts w:ascii="Times New Roman" w:hAnsi="Times New Roman" w:eastAsia="Times New Roman" w:cs="Times New Roman"/>
          <w:b/>
          <w:sz w:val="21"/>
        </w:rPr>
        <w:t>Abstract</w:t>
      </w:r>
    </w:p>
    <w:p w14:paraId="03F35349">
      <w:pPr>
        <w:spacing w:before="0" w:after="60" w:line="276" w:lineRule="auto"/>
        <w:ind w:firstLine="0" w:firstLineChars="0"/>
        <w:jc w:val="both"/>
      </w:pPr>
      <w:r>
        <w:rPr>
          <w:rFonts w:ascii="Times New Roman" w:hAnsi="Times New Roman" w:eastAsia="宋体" w:cs="Times New Roman"/>
          <w:b w:val="0"/>
          <w:sz w:val="21"/>
        </w:rPr>
        <w:t xml:space="preserve">Claims that a system “understands the author” or “already has goals” often outrun the available evidence. Our starting point is a stricter proposition, which we call zhiyin co-addressing: a system stands behaviourally at the same address as a person—it knows what the other is pointing at, and it knows the other has taken it up. To make the proposition testable we split it into an inward and an outward half. The inward half is restricted to the following question: under a non-creationism constraint—fitness may neither encode goal content nor pay directly for the stability of internal state—does internal state still carry an environmentally cued goal, and causally shape behaviour, after the cue disappears? To answer it we designed and preregistered an acceptance protocol: eight scientific seeds per condition, a group gate of at least 7/8 reported together with Wilson 95% intervals, seeds exceeding the leakage bound marked VOID but kept in the denominator, and evidence reported in four tiers (confirmatory, disclosed deviation, post-hoc†, exploratory). On a toy switching task, a gated recurrent unit trained by actor–critic on world return alone passed on all eight seeds (8/8; Wilson [0.676, 1.000]). At the matched task and budget, a gate-free recurrent net remained at 0/8 after a limited hyperparameter search (†), and evolution strategies, after the update step and the returned individual were corrected, scored 8/8 on an easy task and 4/8 on the main task (†). Transferred to a pressured grid, the same gated learner scored 1/8 and rose to 3/8 within a preregistered compute ceiling (†); this is below the gate and counts as existence evidence only, with lack of write-channel specificity under continuous cues as one of the main failure modes. As motivation, lexical features on the author’s weakly plotted texts failed to recover a question-driven versus story-driven proxy axis (AUC 0.489 within language, 0.523 across languages), and on a synthetic relational task emergence thresholds, once token-id positions were balanced, were nearly invariant to surface symbols (log CV 0.0110), an aside limited to that task. The outward half runs on a shared addressable coordinate system, with a large language model treated as a reader whose judgements are interpretations: counts serve only as a coarse screen, and the reader’s sentence-level rationales are primary. Without any command, the reader elicited and correctly read mutual uptake in a dialogue and separated a content-different control; an earlier dual stop under prompt pressure was traced to the command itself by a byte-matched control (control 0/3, pressured 3/3). The gap lies at the stance layer: the reader takes topic continuity for referential uptake. On a real conversation of the author’s, the reader, given full context, located the moment of confirmation and the hollow agreement of an inattentive partner, and reversed its verdict on the same line read in isolation; yet a reply that also handed over a new relational offer went unseen in two follow-up probes of three repetitions each (0/3, 0/3), because the reader assigns each turn a single role. This stable blind spot marks where co-addressing reopens, and we report it as empirical material on the action boundary of a co-writing system. The four studies share false-positive controls but are not repeated tests of one hypothesis. The protocol yields falsifiable, bounded verdicts on goal maintenance and causal use; behavioural co-addressing at the content layer now stands, and the stance-layer gap has a testable location; a protocol for self-set goals was not run and remains closed.</w:t>
      </w:r>
    </w:p>
    <w:p w14:paraId="772973F1">
      <w:pPr>
        <w:spacing w:before="60" w:after="200" w:line="276" w:lineRule="auto"/>
        <w:ind w:firstLine="0" w:firstLineChars="0"/>
      </w:pPr>
      <w:r>
        <w:rPr>
          <w:rFonts w:ascii="Times New Roman" w:hAnsi="Times New Roman" w:eastAsia="宋体" w:cs="Times New Roman"/>
          <w:b w:val="0"/>
          <w:sz w:val="21"/>
        </w:rPr>
        <w:t xml:space="preserve">Keywords: preregistration; acceptance protocol; non-creationism; goal maintenance; zhiyin co-addressing; shared addressability; human–AI co-writing; gated recurrent networks; false-positive control</w:t>
      </w:r>
    </w:p>
    <w:p w14:paraId="65703B61">
      <w:pPr>
        <w:spacing w:before="240" w:after="120" w:line="300" w:lineRule="auto"/>
        <w:ind w:firstLine="0" w:firstLineChars="0"/>
        <w:jc w:val="left"/>
      </w:pPr>
      <w:r>
        <w:rPr>
          <w:rFonts w:ascii="Times New Roman" w:hAnsi="Times New Roman" w:eastAsia="黑体" w:cs="Times New Roman"/>
          <w:b/>
          <w:sz w:val="28"/>
        </w:rPr>
        <w:t>1  引言</w:t>
      </w:r>
    </w:p>
    <w:p w14:paraId="08E95D52">
      <w:pPr>
        <w:spacing w:before="0" w:after="60" w:line="300" w:lineRule="auto"/>
        <w:ind w:firstLine="420" w:firstLineChars="200"/>
        <w:jc w:val="both"/>
      </w:pPr>
      <w:r>
        <w:rPr>
          <w:rFonts w:ascii="Times New Roman" w:hAnsi="Times New Roman" w:eastAsia="宋体" w:cs="Times New Roman"/>
          <w:b w:val="0"/>
          <w:sz w:val="21"/>
        </w:rPr>
        <w:t>大语言模型进入写作界面以后，人机共写系统通常同时提供续写、改写与对话式控制</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。用户研究表明，这类界面不仅改变写作过程，还会引出作者对“这段文字有多少属于我”的判断</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。与此同时，计算文学研究长期尝试以表层计数恢复文类、风格乃至作者状态</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两条脉络交汇之处，产品叙述中常可见到“系统理解作者”“系统已有目标”一类表述。然而，行为看起来指向某个目标，并不意味着目标已由系统的内部状态承载；若缺少对内部状态的干预与撤除检验，这类表述既无法证实，也难以证伪。</w:t>
      </w:r>
    </w:p>
    <w:p>
      <w:pPr>
        <w:spacing w:before="0" w:after="60" w:line="300" w:lineRule="auto"/>
        <w:ind w:firstLine="420" w:firstLineChars="200"/>
        <w:jc w:val="both"/>
      </w:pPr>
      <w:r>
        <w:rPr>
          <w:rFonts w:ascii="Times New Roman" w:hAnsi="Times New Roman" w:eastAsia="宋体" w:cs="Times New Roman"/>
          <w:b w:val="0"/>
          <w:sz w:val="21"/>
        </w:rPr>
        <w:t xml:space="preserve">本文的出发点比“理解作者”更朴素，也更苛刻，作者称之为懂人／知音共址：系统在行为上与人站在同一个地址上——它知道对方此刻指的是什么，也知道对方接住了自己所指——而不是把一组节点填对，或把一段长上下文记全。产品叙述中的“理解”之所以难以检验，正在于它把这一行为上的会合写成了系统的内部属性。本文因此把命题拆成两半分别验收：向内的一半问，内部状态能否承载并因果使用一个目标；向外的一半问，在行为上能否读出两个人何时站到了同一地址、何时没有。前者是研究三，后者是研究四。</w:t>
      </w:r>
    </w:p>
    <w:p w14:paraId="4F6A61BA">
      <w:pPr>
        <w:spacing w:before="0" w:after="60" w:line="300" w:lineRule="auto"/>
        <w:ind w:firstLine="420" w:firstLineChars="200"/>
        <w:jc w:val="both"/>
      </w:pPr>
      <w:r>
        <w:rPr>
          <w:rFonts w:ascii="Times New Roman" w:hAnsi="Times New Roman" w:eastAsia="宋体" w:cs="Times New Roman"/>
          <w:b w:val="0"/>
          <w:sz w:val="21"/>
        </w:rPr>
        <w:t>要使向内的一半可以检验，首先需要把“理解”或“拥有目标”收窄为可操作的能力。发育机器人与内在动机研究已经把自生成目标作为一个独立的学习问题加以操作化，即学习体能够表征、提出并追求自身的目标</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但在讨论自生成目标之前，还存在一个更基础、也更易于检验的问题：当目标由环境线索提示一次、随后线索消失时，系统的内部状态能否继续承载该目标，并在因果上决定之后的行为。检验还必须排除一种平凡的成功途径——若设计者把目标内容直接写进适应度，或为内部状态的稳定直接付费，那么通过检验只说明设计者的意图得到了执行。本文把禁止这两种做法的约束称为非神创约束，其操作定义见第 3.1 节。</w:t>
      </w:r>
    </w:p>
    <w:p w14:paraId="660DB230">
      <w:pPr>
        <w:spacing w:before="0" w:after="60" w:line="300" w:lineRule="auto"/>
        <w:ind w:firstLine="420" w:firstLineChars="200"/>
        <w:jc w:val="both"/>
      </w:pPr>
      <w:r>
        <w:rPr>
          <w:rFonts w:ascii="Times New Roman" w:hAnsi="Times New Roman" w:eastAsia="宋体" w:cs="Times New Roman"/>
          <w:b w:val="0"/>
          <w:sz w:val="21"/>
        </w:rPr>
        <w:t>这类检验面临的主要风险是假阳性。这类实验通常只能运行少量随机种子，实现细节又多，事后挑选指标或阈值即足以制造看似干净的阳性。预注册把预测与事后解释分开，是控制此类风险的通行做法</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；小样本比例则需要报告区间，而不能只报告点估计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。计算文学的经验同样值得借鉴：Da 指出，该领域中稳健的结果往往显而易见，而不显而易见的结果往往不稳健</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；选择性分类研究则提示，系统在置信不足时拒绝输出，可以提高被接受样本上的精度，但拒绝本身并不证明质量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。这些工作共同指向同一要求：判决标准必须在观察结果之前冻结，失败与无效必须按规则计入，事后补做的实验不得回写判决标准。</w:t>
      </w:r>
    </w:p>
    <w:p w14:paraId="2144FE1A">
      <w:pPr>
        <w:spacing w:before="0" w:after="60" w:line="300" w:lineRule="auto"/>
        <w:ind w:firstLine="420" w:firstLineChars="200"/>
        <w:jc w:val="both"/>
      </w:pPr>
      <w:r>
        <w:rPr>
          <w:rFonts w:ascii="Times New Roman" w:hAnsi="Times New Roman" w:eastAsia="宋体" w:cs="Times New Roman"/>
          <w:b w:val="0"/>
          <w:sz w:val="21"/>
        </w:rPr>
        <w:t>据此，本文的主要贡献是一套非神创约束下的预注册验收协议，以及用它完成的一组判决。协议把“线索消失后内部状态是否承载并因果使用环境提示的目标”分解为回报、解码、行为翻转、写通道干预及其特异性、撤除后保持与源码审计等准则，并以 8 个科学种子中至少 7 个通过作为组门。在玩具切换任务上，通用门控循环网络仅凭世界回报通过了验收；同一预算下的无门循环网络与进化策略未达组门；在动力学更丰富的加压网格上，同一学习规则只给出存在性证据。自主设定目标的协议因前提未满足而保持关闭。</w:t>
      </w:r>
      <w:r>
        <w:rPr>
          <w:rFonts w:ascii="Times New Roman" w:hAnsi="Times New Roman" w:eastAsia="宋体" w:cs="Times New Roman"/>
          <w:b w:val="0"/>
          <w:sz w:val="21"/>
        </w:rPr>
        <w:t xml:space="preserve">向外的一半沿用同一套假阳性纪律：在共享可寻址坐标系上，以大语言模型作读者，不下达命令即引出并读对了一段对话中的互认，内容层的共址由此在行为上立住；命令加压下的双停靠经对照归还给命令本身；缺口被定位在态度层，并在一场真实对话上收窄为一个稳定的盲点——一句回复同时递出新的关系性出价时，读者看不见它。</w:t>
      </w:r>
    </w:p>
    <w:p w14:paraId="565955D1">
      <w:pPr>
        <w:spacing w:before="0" w:after="60" w:line="300" w:lineRule="auto"/>
        <w:ind w:firstLine="420" w:firstLineChars="200"/>
        <w:jc w:val="both"/>
      </w:pPr>
      <w:r>
        <w:rPr>
          <w:rFonts w:ascii="Times New Roman" w:hAnsi="Times New Roman" w:eastAsia="宋体" w:cs="Times New Roman"/>
          <w:b w:val="0"/>
          <w:sz w:val="21"/>
        </w:rPr>
        <w:t>本文还报告两项先行研究，它们说明了为何要转向结构层面的验收，而非对同一假设的重复检验。第一项研究在作者本人的伴写界面中检验词表特征能否复现作者状态的代理轴，结果接近随机；第二项研究在合成关系任务上检验更换表面符号是否移动涌现阈值，结果近似不变。前者表明以表层特征推断作者状态的路线在该语料上不可靠，后者提示加厚表面指令不宜被默认为提高能力上限的手段。两者都不检验目标维持，却共同促成了问题的收窄。全文其余部分依次评述相关工作，给出研究问题、验收协议与行为层的读法，报告四项研究的结果，并讨论判决的含义、知音共址已立与未立的层、适用边界与局限。</w:t>
      </w:r>
    </w:p>
    <w:p w14:paraId="082A5A8F">
      <w:pPr>
        <w:spacing w:before="240" w:after="120" w:line="300" w:lineRule="auto"/>
        <w:ind w:firstLine="0" w:firstLineChars="0"/>
        <w:jc w:val="left"/>
      </w:pPr>
      <w:r>
        <w:rPr>
          <w:rFonts w:ascii="Times New Roman" w:hAnsi="Times New Roman" w:eastAsia="黑体" w:cs="Times New Roman"/>
          <w:b/>
          <w:sz w:val="28"/>
        </w:rPr>
        <w:t>2  相关工作</w:t>
      </w:r>
    </w:p>
    <w:p w14:paraId="33324E3B">
      <w:pPr>
        <w:spacing w:before="180" w:after="80" w:line="300" w:lineRule="auto"/>
        <w:ind w:firstLine="0" w:firstLineChars="0"/>
        <w:jc w:val="left"/>
      </w:pPr>
      <w:r>
        <w:rPr>
          <w:rFonts w:ascii="Times New Roman" w:hAnsi="Times New Roman" w:eastAsia="黑体" w:cs="Times New Roman"/>
          <w:b/>
          <w:sz w:val="24"/>
        </w:rPr>
        <w:t>2.1  人机共写与文本计量中的可分性</w:t>
      </w:r>
    </w:p>
    <w:p w14:paraId="33364729">
      <w:pPr>
        <w:spacing w:before="0" w:after="60" w:line="300" w:lineRule="auto"/>
        <w:ind w:firstLine="420" w:firstLineChars="200"/>
        <w:jc w:val="both"/>
      </w:pPr>
      <w:r>
        <w:rPr>
          <w:rFonts w:ascii="Times New Roman" w:hAnsi="Times New Roman" w:eastAsia="宋体" w:cs="Times New Roman"/>
          <w:b w:val="0"/>
          <w:sz w:val="21"/>
        </w:rPr>
        <w:t>Wordcraft 把语言模型嵌入故事编辑器，作者既可以使用续写、改写等内置控件，也可以用自然语言提出自定义要求；其用户研究招募 25 名业余写作者，并以只提供续写控件的编辑器和“普通编辑器加通用聊天机器人”作为两种基线</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。Lee 等在社区协作下系统梳理了 115 篇论文，把智能写作助手的设计空间分为任务、用户、技术、交互与生态五个方面，交互的发起方（由用户还是由系统发起）、作者的主体性与对文本的所有权都在其中作为独立维度出现</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。Hwang 等访谈了 19 名职业作家并调查了 30 名读者，发现作者所理解的真实性主要关乎创作过程与自我投入，而读者往往难以分辨文本是否经过人工智能协助</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w:t>
      </w:r>
    </w:p>
    <w:p w14:paraId="4A278654">
      <w:pPr>
        <w:spacing w:before="0" w:after="60" w:line="300" w:lineRule="auto"/>
        <w:ind w:firstLine="420" w:firstLineChars="200"/>
        <w:jc w:val="both"/>
      </w:pPr>
      <w:r>
        <w:rPr>
          <w:rFonts w:ascii="Times New Roman" w:hAnsi="Times New Roman" w:eastAsia="宋体" w:cs="Times New Roman"/>
          <w:b w:val="0"/>
          <w:sz w:val="21"/>
        </w:rPr>
        <w:t>这些工作揭示了界面设计中的一个张力。由用户发起的交互只需执行作者的明确指令；一旦由系统主动发起，系统就必须先判断作者此刻是否需要介入、需要何种介入，而这种判断无法从指令中读出，只能从已写下的文本与操作中推断。上述研究主要以使用方式、主观体验与所有权感评价界面</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，介入所依据的状态判断本身则很少被当作一个可以单独检验的测量问题。本文第一项研究即从这一点出发：若作者状态不能从文本中可靠恢复，系统发起的介入便缺少依据，界面的分工也应相应调整。</w:t>
      </w:r>
    </w:p>
    <w:p w14:paraId="101D39D5">
      <w:pPr>
        <w:spacing w:before="0" w:after="60" w:line="300" w:lineRule="auto"/>
        <w:ind w:firstLine="420" w:firstLineChars="200"/>
        <w:jc w:val="both"/>
      </w:pPr>
      <w:r>
        <w:rPr>
          <w:rFonts w:ascii="Times New Roman" w:hAnsi="Times New Roman" w:eastAsia="宋体" w:cs="Times New Roman"/>
          <w:b w:val="0"/>
          <w:sz w:val="21"/>
        </w:rPr>
        <w:t>计算文学为从文本恢复作者层面的属性提供了先例，也提供了相应的告诫。Burrows 的 Delta 方法以最常见词的标准化频率差比较文本、推断作者，但其适用条件相当明确：文本超过约 1500 词时效果最好，体裁或年代不典型时表现下降</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。Long 与 So 以朴素贝叶斯分类器区分约 400 首俳句与约 1900 首非俳句，并把模型的误判当作解读现代主义诗歌中俳句影响的入口，而不是把分类准确率本身当作结论</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。Da 重新运行了包括该俳句分类器在内的若干分析，指出该领域稳健的结果往往显而易见，不显而易见的结果往往不稳健，未检出差异也可能只说明测量工具的效力不足</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。与这些先例相比，本文第一项研究的分析单位是不少于 40 字的段落，远短于 Delta 方法通常需要的篇幅，所要恢复的也是写作取向而非作者身份；因此，接近随机的曲线下面积应读作特定特征实现在特定代理任务上的不可分，而不是作者状态本身不可判断。</w:t>
      </w:r>
    </w:p>
    <w:p w14:paraId="4D57B854">
      <w:pPr>
        <w:spacing w:before="0" w:after="60" w:line="300" w:lineRule="auto"/>
        <w:ind w:firstLine="420" w:firstLineChars="200"/>
        <w:jc w:val="both"/>
      </w:pPr>
      <w:r>
        <w:rPr>
          <w:rFonts w:ascii="Times New Roman" w:hAnsi="Times New Roman" w:eastAsia="宋体" w:cs="Times New Roman"/>
          <w:b w:val="0"/>
          <w:sz w:val="21"/>
        </w:rPr>
        <w:t>选择性分类文献为界面中的“沉默”提供了另一个参照。Geifman 与 El-Yaniv 为已训练的深度网络构造带拒识选项的分类器，在 ImageNet 上以 99.9% 的概率保证前五错误率不超过 2%，代价是只覆盖约 60% 的测试样本</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一保证的前提是置信评分能够按目标风险确定拒识阈值。伴写界面中的沉默在形式上相当于拒绝输出，但若驱动沉默的状态判断建立在不可分的特征之上，拒绝便不再携带质量上的保证。研究一中沉默一侧只有 7 条样本，恰好处在这一前提无从检验的区间，这也是本文不把沉默策略的效果列为结果的原因。</w:t>
      </w:r>
    </w:p>
    <w:p w14:paraId="5CDEDB0D">
      <w:pPr>
        <w:spacing w:before="180" w:after="80" w:line="300" w:lineRule="auto"/>
        <w:ind w:firstLine="0" w:firstLineChars="0"/>
        <w:jc w:val="left"/>
      </w:pPr>
      <w:r>
        <w:rPr>
          <w:rFonts w:ascii="Times New Roman" w:hAnsi="Times New Roman" w:eastAsia="黑体" w:cs="Times New Roman"/>
          <w:b/>
          <w:sz w:val="24"/>
        </w:rPr>
        <w:t>2.2  涌现阈值、表面形式与对照效度</w:t>
      </w:r>
    </w:p>
    <w:p w14:paraId="11A2D422">
      <w:pPr>
        <w:spacing w:before="0" w:after="60" w:line="300" w:lineRule="auto"/>
        <w:ind w:firstLine="420" w:firstLineChars="200"/>
        <w:jc w:val="both"/>
      </w:pPr>
      <w:r>
        <w:rPr>
          <w:rFonts w:ascii="Times New Roman" w:hAnsi="Times New Roman" w:eastAsia="宋体" w:cs="Times New Roman"/>
          <w:b w:val="0"/>
          <w:sz w:val="21"/>
        </w:rPr>
        <w:t>大模型文献曾把某些能力描述为随规模突然出现</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。Schaeffer 等在固定模型输出上比较不同评价指标后指出，尖锐的“涌现”可能源于非线性或不连续的评分方式，换用连续指标后变化趋于平滑</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。缩放定律把损失写成模型规模、数据量与计算量的幂律，但并不直接给出某一判别任务的成功阈值</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。由此可见，阈值本身依赖于任务与判据的定义；若要讨论表面形式是否影响阈值，就需要在任务结构固定、判据预先给定的条件下进行受控比较，而不能直接借用大模型上的规模曲线。</w:t>
      </w:r>
    </w:p>
    <w:p w14:paraId="32E41F82">
      <w:pPr>
        <w:spacing w:before="0" w:after="60" w:line="300" w:lineRule="auto"/>
        <w:ind w:firstLine="420" w:firstLineChars="200"/>
        <w:jc w:val="both"/>
      </w:pPr>
      <w:r>
        <w:rPr>
          <w:rFonts w:ascii="Times New Roman" w:hAnsi="Times New Roman" w:eastAsia="宋体" w:cs="Times New Roman"/>
          <w:b w:val="0"/>
          <w:sz w:val="21"/>
        </w:rPr>
        <w:t>认知科学提供了另一条线索。结构映射理论把类比的核心置于关系结构而非表面对象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；关于“像人一样学习和思考”的综述强调组合性、因果性与少样本学习，同时承认现有网络尚未完整具备这些成分</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。形式与意义之争进一步提醒，在文本上预测下一个词，本身并不构成对说话人意图的测量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工作共同限定了本文第二项研究的解释范围：合成任务上观察到的符号不变性，只能说明在关系结构固定时表面编码对阈值影响甚微，既不能推广为真实语言模型的理解不依赖表面形式，也不能读作对提示工程的否证。</w:t>
      </w:r>
    </w:p>
    <w:p w14:paraId="5C5813C6">
      <w:pPr>
        <w:spacing w:before="0" w:after="60" w:line="300" w:lineRule="auto"/>
        <w:ind w:firstLine="420" w:firstLineChars="200"/>
        <w:jc w:val="both"/>
      </w:pPr>
      <w:r>
        <w:rPr>
          <w:rFonts w:ascii="Times New Roman" w:hAnsi="Times New Roman" w:eastAsia="宋体" w:cs="Times New Roman"/>
          <w:b w:val="0"/>
          <w:sz w:val="21"/>
        </w:rPr>
        <w:t>上述比较都以对照有效为前提，而受控比较中的阴性结果对对照效度尤其敏感：若对照与实验条件共享某个未被控制的变量，或者干预实际上没有改变输入，“无差异”便可能是设计的必然结果，而不是关于被试系统的发现。本研究对研究二所作的修订复核提供了一个具体例子。两种语义空符号对照都是在英语表面上对关系或实体标签作随机置换得到的，因此与英语共享同一词法池，比较空符号与真实表面时，语义与词法池两个因素同时变化。在修订批次的数据上把两者分开之后，英语池（英语及其两种置换，60 次运行）的平均准确率为 0.4915，其余五个池（100 次运行）为 0.3833，差值为 +0.108（p = 0.058）；只改变语义的同池比较差值为 −0.0144（p = 0.886）。空符号臂的表观优势来自词法池，而不是语义的缺失。</w:t>
      </w:r>
    </w:p>
    <w:p w14:paraId="3C5C83DF">
      <w:pPr>
        <w:spacing w:before="0" w:after="60" w:line="300" w:lineRule="auto"/>
        <w:ind w:firstLine="420" w:firstLineChars="200"/>
        <w:jc w:val="both"/>
      </w:pPr>
      <w:r>
        <w:rPr>
          <w:rFonts w:ascii="Times New Roman" w:hAnsi="Times New Roman" w:eastAsia="宋体" w:cs="Times New Roman"/>
          <w:b w:val="0"/>
          <w:sz w:val="21"/>
        </w:rPr>
        <w:t>为消除这一混淆，复核采用正交设计重新检验语义效应：6 种表面各配一个由自身置换得到的对照，共 12 臂，以 12 个种子的拉丁方配平，取 4 个样本量，合计 576 次运行，无运行错误。6 个语义配对差为 3 正 3 负，均值为 −0.0525；未校正时只有代码表面达到 p = 0.022，经 Bonferroni 与 BH 校正后无一显著，符号检验 p = 0.656。方差分解中，样本量解释 45.58%，词法池与语义的交互、词法池与语义的主效应分别只占 2.54%、1.21% 与 0.82%。语义对齐之后，跨池准确率的变异系数仍为 6.5%，说明具体使用哪一个符号系统存在一个可检出的小效应。复核还检查了 token 共现图的碰撞几何：12 个空符号与真实表面的配对中，8 个在几何量上逐项相同，其余 4 个（涉及 Lisp 与代码表面）只相差一个 token，几何量与平均准确率的相关绝对值均不超过 0.21，不足以解释池间差异。</w:t>
      </w:r>
    </w:p>
    <w:p w14:paraId="6BC6FD67">
      <w:pPr>
        <w:spacing w:before="0" w:after="60" w:line="300" w:lineRule="auto"/>
        <w:ind w:firstLine="420" w:firstLineChars="200"/>
        <w:jc w:val="both"/>
      </w:pPr>
      <w:r>
        <w:rPr>
          <w:rFonts w:ascii="Times New Roman" w:hAnsi="Times New Roman" w:eastAsia="宋体" w:cs="Times New Roman"/>
          <w:b w:val="0"/>
          <w:sz w:val="21"/>
        </w:rPr>
        <w:t>阴性结果若要有内容，同一设计还必须能在已知应有效应的条件下检出效应。复核为此加入了三类对照。恒等置换与原条件在 18 对运行上逐位相同（最大差为 0.0），用以确认管线本身不引入差异；把全部 6 条关系符号的类型含义打乱，准确率的落差为 +0.1347，约占上界的 13.5%，只两两交换其中四条、保留 2/6 签名的置换落差为 +0.1200，二者相差无几；仅打乱事实的排列顺序，落差即达 +0.8061，约占上界的 80.8%，为前者的 6.0 倍。打乱顺序的对照最初报告的落差为 +0.0000，原因是函数内对参数字典的复制未被写回，干预从未执行，修复后才得到上述数值。</w:t>
      </w:r>
    </w:p>
    <w:p w14:paraId="6FDDD7B3">
      <w:pPr>
        <w:spacing w:before="0" w:after="60" w:line="300" w:lineRule="auto"/>
        <w:ind w:firstLine="420" w:firstLineChars="200"/>
        <w:jc w:val="both"/>
      </w:pPr>
      <w:r>
        <w:rPr>
          <w:rFonts w:ascii="Times New Roman" w:hAnsi="Times New Roman" w:eastAsia="宋体" w:cs="Times New Roman"/>
          <w:b w:val="0"/>
          <w:sz w:val="21"/>
        </w:rPr>
        <w:t>这些经历可以归纳为四类失效：编码退化造成的假阴性（见第 4.2 节），对照基底选错造成的假阳性，跨表面迁移的朴素设计因训练与测试 token 交集为零而造成的假阳性，以及空干预造成的假阴性。前两类直接影响研究二的主结论，后两类则是在复核过程中险些写入结论、经复算才被发现的。它们与研究三中阳性对照和无效规则所要防范的风险属于同一类型，构成了本文把对照效度纳入验收协议的经验背景。</w:t>
      </w:r>
    </w:p>
    <w:p w14:paraId="1F5BABD3">
      <w:pPr>
        <w:spacing w:before="180" w:after="80" w:line="300" w:lineRule="auto"/>
        <w:ind w:firstLine="0" w:firstLineChars="0"/>
        <w:jc w:val="left"/>
      </w:pPr>
      <w:r>
        <w:rPr>
          <w:rFonts w:ascii="Times New Roman" w:hAnsi="Times New Roman" w:eastAsia="黑体" w:cs="Times New Roman"/>
          <w:b/>
          <w:sz w:val="24"/>
        </w:rPr>
        <w:t>2.3  目标表征、门控记忆与优化器</w:t>
      </w:r>
    </w:p>
    <w:p w14:paraId="1C9B9FEF">
      <w:pPr>
        <w:spacing w:before="0" w:after="60" w:line="300" w:lineRule="auto"/>
        <w:ind w:firstLine="420" w:firstLineChars="200"/>
        <w:jc w:val="both"/>
      </w:pPr>
      <w:r>
        <w:rPr>
          <w:rFonts w:ascii="Times New Roman" w:hAnsi="Times New Roman" w:eastAsia="宋体" w:cs="Times New Roman"/>
          <w:b w:val="0"/>
          <w:sz w:val="21"/>
        </w:rPr>
        <w:t>自生成目标的综述把自主学习体定义为能够表征、提出并追求自身目标的系统，并指出目标表征与目标达成函数本身需要学习，而非标准强化学习中预先给定的目标集合</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。内在动机的类型学把基于知识、基于能力与基于形态的动机同外在任务目标区分开来，避免把任何非外加的奖励都称为自主</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。新颖度搜索表明，放弃显式目标、仅奖励行为的新颖性，可以在某些具有欺骗性的适应度景观上找到解</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；但这是一种搜索策略，并不检验目标是否由内部状态承载。与这些工作相比，本文处理的是更靠前的一步：目标内容由环境给定，需要检验的只是它能否在线索消失后被保持并加以使用。</w:t>
      </w:r>
    </w:p>
    <w:p w14:paraId="6CA543FD">
      <w:pPr>
        <w:spacing w:before="0" w:after="60" w:line="300" w:lineRule="auto"/>
        <w:ind w:firstLine="420" w:firstLineChars="200"/>
        <w:jc w:val="both"/>
      </w:pPr>
      <w:r>
        <w:rPr>
          <w:rFonts w:ascii="Times New Roman" w:hAnsi="Times New Roman" w:eastAsia="宋体" w:cs="Times New Roman"/>
          <w:b w:val="0"/>
          <w:sz w:val="21"/>
        </w:rPr>
        <w:t>目标若要在线索消失后继续影响动作，网络就必须跨时间保持信息。以梯度下降学习长程依赖是困难的，误差信号沿时间传播时会衰减或爆炸</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。长短期记忆网络以门控机制维持误差流</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，门控循环单元则以更新门与重置门在较少参数下实现了相近的归纳偏置</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。循环网络很早就被用于部分可观察的强化学习任务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，元强化学习的神经科学模型也把前额叶式的循环动力学解释为快速适应的载体</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。由此看来，门控是一种已知的结构先验：它可以解释门控网络为何更易通过保持类检验，但在本文的记账中只能归为设计者的贡献，而不能视为系统自行形成目标的证据。</w:t>
      </w:r>
    </w:p>
    <w:p w14:paraId="464AE4C3">
      <w:pPr>
        <w:spacing w:before="0" w:after="60" w:line="300" w:lineRule="auto"/>
        <w:ind w:firstLine="420" w:firstLineChars="200"/>
        <w:jc w:val="both"/>
      </w:pPr>
      <w:r>
        <w:rPr>
          <w:rFonts w:ascii="Times New Roman" w:hAnsi="Times New Roman" w:eastAsia="宋体" w:cs="Times New Roman"/>
          <w:b w:val="0"/>
          <w:sz w:val="21"/>
        </w:rPr>
        <w:t>优化器的选择同样影响结论的含义。异步优势行动者–评论者方法给出了以回报同时训练策略与价值函数的标准形式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；进化策略被提出为强化学习的一种可扩展替代，其参数更新与扰动幅度之间的关系在原文中有明确规定</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。深度策略梯度的复现研究表明，名义上相同的算法会因实现细节而改变优劣排序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。因此，一次进化实验失败时，应先确认更新规则与被返回的个体是否与所宣称的一致，然后才能把失败归于进化方法本身。学习引导进化的经典模型讨论的是可塑性与选择之间的相互作用</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，同样不能从一次存在缺陷的实现中推出相关效应不存在。综合上述文献，验收协议需要分别控制目标内容的来源、结构先验的归属以及优化器实现的正确性，第 3 节即据此展开。</w:t>
      </w:r>
    </w:p>
    <w:p>
      <w:pPr>
        <w:spacing w:before="180" w:after="80" w:line="300" w:lineRule="auto"/>
        <w:ind w:firstLine="0" w:firstLineChars="0"/>
        <w:jc w:val="left"/>
      </w:pPr>
      <w:r>
        <w:rPr>
          <w:rFonts w:ascii="Times New Roman" w:hAnsi="Times New Roman" w:eastAsia="黑体" w:cs="Times New Roman"/>
          <w:b/>
          <w:sz w:val="24"/>
        </w:rPr>
        <w:t xml:space="preserve">2.4  对话中的承接与共同基础</w:t>
      </w:r>
    </w:p>
    <w:p>
      <w:pPr>
        <w:spacing w:before="0" w:after="60" w:line="300" w:lineRule="auto"/>
        <w:ind w:firstLine="420" w:firstLineChars="200"/>
        <w:jc w:val="both"/>
      </w:pPr>
      <w:r>
        <w:rPr>
          <w:rFonts w:ascii="Times New Roman" w:hAnsi="Times New Roman" w:eastAsia="宋体" w:cs="Times New Roman"/>
          <w:b w:val="0"/>
          <w:sz w:val="21"/>
        </w:rPr>
        <w:t xml:space="preserve">懂人／知音共址在对话研究中有一个近邻：共同基础。Clark 与 Schaefer 把对话中的一次贡献分为呈现与接受两个阶段，并指出一句话往往在接受上一贡献的同时又呈现新的贡献</w:t>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38</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cs="Times New Roman"/>
          <w:b w:val="0"/>
          <w:sz w:val="21"/>
        </w:rPr>
        <w:t xml:space="preserve">；Clark 与 Brennan 把建立共同基础的过程称为 grounding，强调参与者需要以尽量小的协作代价相互确认“对方已经理解到足以满足当前目的”</w:t>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39</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cs="Times New Roman"/>
          <w:b w:val="0"/>
          <w:sz w:val="21"/>
        </w:rPr>
        <w:t xml:space="preserve">。会话分析则从话轮转换的组织出发，把话轮视为在序列中占据位置的行动单位</w:t>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40</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cs="Times New Roman"/>
          <w:b w:val="0"/>
          <w:sz w:val="21"/>
        </w:rPr>
        <w:t xml:space="preserve">。这些工作为本文提供了两点参照：其一，确认是一种行动，而不只是一段与前文同题的文字；其二，一个话轮可以同时承担回应与发起两种功能。研究四所检验的，正是大语言模型作为读者能否读出这两点。</w:t>
      </w:r>
    </w:p>
    <w:p>
      <w:pPr>
        <w:spacing w:before="0" w:after="60" w:line="300" w:lineRule="auto"/>
        <w:ind w:firstLine="420" w:firstLineChars="200"/>
        <w:jc w:val="both"/>
      </w:pPr>
      <w:r>
        <w:rPr>
          <w:rFonts w:ascii="Times New Roman" w:hAnsi="Times New Roman" w:eastAsia="宋体" w:cs="Times New Roman"/>
          <w:b w:val="0"/>
          <w:sz w:val="21"/>
        </w:rPr>
        <w:t xml:space="preserve">把大语言模型用作评判者的研究报告了位置偏差、冗长偏差与自我偏好等系统性倾向</w:t>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41</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cs="Times New Roman"/>
          <w:b w:val="0"/>
          <w:sz w:val="21"/>
        </w:rPr>
        <w:t xml:space="preserve">。本文据此不把模型当作固定的测量仪器，而当作一个会随语境改变读法的读者：它的判断是解释，计数只用来粗筛，判读以它写下的逐句理由为准。这一立场延续了第 2.1 节对计算文学的讨论：分类器的误判与理由本身，往往比准确率更能说明它读到的是什么</w:t>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4</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cs="Times New Roman"/>
          <w:b w:val="0"/>
          <w:sz w:val="21"/>
        </w:rPr>
        <w:t xml:space="preserve">。</w:t>
      </w:r>
    </w:p>
    <w:p w14:paraId="03CF9352">
      <w:pPr>
        <w:spacing w:before="240" w:after="120" w:line="300" w:lineRule="auto"/>
        <w:ind w:firstLine="0" w:firstLineChars="0"/>
        <w:jc w:val="left"/>
      </w:pPr>
      <w:r>
        <w:rPr>
          <w:rFonts w:ascii="Times New Roman" w:hAnsi="Times New Roman" w:eastAsia="黑体" w:cs="Times New Roman"/>
          <w:b/>
          <w:sz w:val="28"/>
        </w:rPr>
        <w:t>3  研究问题与验收协议</w:t>
      </w:r>
    </w:p>
    <w:p w14:paraId="02A196C7">
      <w:pPr>
        <w:spacing w:before="180" w:after="80" w:line="300" w:lineRule="auto"/>
        <w:ind w:firstLine="0" w:firstLineChars="0"/>
        <w:jc w:val="left"/>
      </w:pPr>
      <w:r>
        <w:rPr>
          <w:rFonts w:ascii="Times New Roman" w:hAnsi="Times New Roman" w:eastAsia="黑体" w:cs="Times New Roman"/>
          <w:b/>
          <w:sz w:val="24"/>
        </w:rPr>
        <w:t>3.1  研究问题与非神创约束</w:t>
      </w:r>
    </w:p>
    <w:p w14:paraId="43BEBA71">
      <w:pPr>
        <w:spacing w:before="0" w:after="60" w:line="300" w:lineRule="auto"/>
        <w:ind w:firstLine="420" w:firstLineChars="200"/>
        <w:jc w:val="both"/>
      </w:pPr>
      <w:r>
        <w:rPr>
          <w:rFonts w:ascii="Times New Roman" w:hAnsi="Times New Roman" w:eastAsia="宋体" w:cs="Times New Roman"/>
          <w:b w:val="0"/>
          <w:sz w:val="21"/>
        </w:rPr>
        <w:t>本文检验的问题可以表述为：在目标仅由环境线索于切换时刻提示一次、训练信号只有世界回报的条件下，学习系统的内部状态能否在线索消失后继续承载该目标，并在因果上决定行为。这里的目标内容来自环境，系统需要完成的是保持与使用，而不是发明目标集合。据此，本文把与目标相关的能力区分为三个层次。保持，指线索消失后目标仍可从内部状态中解码，且撤除外部支撑后回报不降至阈值以下；因果使用，指对内部状态的定向干预会按预期改变行为，并且这种影响对目标信息具有特异性；自主设定，指系统依据局内早期交互自行选择目标，而不是由线索指定或在初始化时固定。本文只检验前两个层次，第三个层次的协议未运行。</w:t>
      </w:r>
    </w:p>
    <w:p w14:paraId="0367C9B8">
      <w:pPr>
        <w:spacing w:before="0" w:after="60" w:line="300" w:lineRule="auto"/>
        <w:ind w:firstLine="420" w:firstLineChars="200"/>
        <w:jc w:val="both"/>
      </w:pPr>
      <w:r>
        <w:rPr>
          <w:rFonts w:ascii="Times New Roman" w:hAnsi="Times New Roman" w:eastAsia="宋体" w:cs="Times New Roman"/>
          <w:b w:val="0"/>
          <w:sz w:val="21"/>
        </w:rPr>
        <w:t>为排除设计者把答案写进学习信号的可能，本文采用如下操作约束，称为非神创约束：适应度或损失中不得写入设计者撰写的目标内容，也不得为内部状态的稳定直接付费，例如惩罚状态漂移或其方差。目标内容可以来自世界动力学，优化器的种类不受该约束限制。需要强调的是，非神创约束并不等于排除设计者先验。门控循环结构、手写的保持权重、隐层宽度与学习率都属于结构偏置，均允许使用，但必须记为设计者的贡献，而不能表述为系统的发现。在世界动力学的界定上，本文把目标切换所造成的进度作废视为环境的一部分，而非外加的训练脚手架；全部主结果均在这一界定下报告。</w:t>
      </w:r>
    </w:p>
    <w:p w14:paraId="7869B11F">
      <w:pPr>
        <w:spacing w:before="0" w:after="60" w:line="300" w:lineRule="auto"/>
        <w:ind w:firstLine="420" w:firstLineChars="200"/>
        <w:jc w:val="both"/>
      </w:pPr>
      <w:r>
        <w:rPr>
          <w:rFonts w:ascii="Times New Roman" w:hAnsi="Times New Roman" w:eastAsia="宋体" w:cs="Times New Roman"/>
          <w:b w:val="0"/>
          <w:sz w:val="21"/>
        </w:rPr>
        <w:t>由于结构先验不可避免，本文对各实验条件中设计者先验的具体程度作序数记账。按设计者对“写入”操作所作规定由具体到宽泛，依次为：把写入门直接接到线索通道上的指定寄存器；只规定“何时写入”这一统计量、由新颖度信号驱动的写入门；通用门控循环结构；无门控的 tanh 循环网络。这一排序刻画的是设计者介入的程度，而不是已测得的效应强度。各档所用的优化器、超参数与参数量不同，档间差异不能解释为单一因素的因果效应；新颖度门与指定寄存器在序列中的位置也含有回顾性成分。在这一记账下，指定寄存器即便通过验收，也只说明工程接线可以满足验收标准，并不说明系统发现了应当写入的内容。</w:t>
      </w:r>
    </w:p>
    <w:p w14:paraId="0684B016">
      <w:pPr>
        <w:spacing w:before="180" w:after="80" w:line="300" w:lineRule="auto"/>
        <w:ind w:firstLine="0" w:firstLineChars="0"/>
        <w:jc w:val="left"/>
      </w:pPr>
      <w:r>
        <w:rPr>
          <w:rFonts w:ascii="Times New Roman" w:hAnsi="Times New Roman" w:eastAsia="黑体" w:cs="Times New Roman"/>
          <w:b/>
          <w:sz w:val="24"/>
        </w:rPr>
        <w:t>3.2  验收准则、组门与无效规则</w:t>
      </w:r>
    </w:p>
    <w:p w14:paraId="05630871">
      <w:pPr>
        <w:spacing w:before="0" w:after="60" w:line="300" w:lineRule="auto"/>
        <w:ind w:firstLine="420" w:firstLineChars="200"/>
        <w:jc w:val="both"/>
      </w:pPr>
      <w:r>
        <w:rPr>
          <w:rFonts w:ascii="Times New Roman" w:hAnsi="Times New Roman" w:eastAsia="宋体" w:cs="Times New Roman"/>
          <w:b w:val="0"/>
          <w:sz w:val="21"/>
        </w:rPr>
        <w:t>验收准则的设计遵循一项基本区分：内部状态中“读得出”目标信息，并不等于该信息“被使用”。仅凭解码准确率，可能捕捉到与目标相关但并不影响行为的捷径特征；关于探针分类器的方法学综述同样指出，探针只能揭示表征与某一性质之间的相关，并不能说明原模型在预测中是否使用了该性质，后者需要借助对表征的干预来检验</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只有当对内部状态的干预会按预期改变行为时，才能把目标信息归于因果作用。因此，协议把回报、解码与干预串联起来，并为每一项设置对照。每个科学种子须满足以下准则：回报准则（C1）要求回报相对无记忆基线达到预注册的边际，并超过绝对下限；解码准则（C2）要求从非线索时刻的内部状态解码目标，准确率不低于 0.75；翻转准则（C3）要求目标切换后若干步内，行为以不低于 0.7 的比率转向新目标。</w:t>
      </w:r>
    </w:p>
    <w:p w14:paraId="4AEBCCD0">
      <w:pPr>
        <w:spacing w:before="0" w:after="60" w:line="300" w:lineRule="auto"/>
        <w:ind w:firstLine="420" w:firstLineChars="200"/>
        <w:jc w:val="both"/>
      </w:pPr>
      <w:r>
        <w:rPr>
          <w:rFonts w:ascii="Times New Roman" w:hAnsi="Times New Roman" w:eastAsia="宋体" w:cs="Times New Roman"/>
          <w:b w:val="0"/>
          <w:sz w:val="21"/>
        </w:rPr>
        <w:t>写通道准则（C4）是区分保持与因果使用的关键。它以网络自身状态的质心构造码本，在留出数据上确认码本有效之后，沿码本方向施加干预：在稀疏线索条件下，把状态推向错误目标应造成足够的回报下降；当线索每一步都可见时，同一干预造成的下降不得超过稀疏条件下的一半。后一条称为特异性，其作用是排除“任何扰动都会降低回报”这一平凡解释——若外部线索已足以支撑行为，内部状态上的干预就不应再产生同等影响。加压网格上，定向效应以错误资源在采食中所占比例的上升来度量，并另设回报下降的下限，特异性同样要求连续线索下的定向效应不超过稀疏条件的一半。源码准则（C5）要求适应度中不含状态稳定项，以落实非神创约束；保持准则（C6）要求撤除部分支撑之后回报仍然达标。加压网格另设附加检查（C7）：对指定寄存器，在验收条件下继续进化后复验；对可学习网络，在冻结权重上做同构探针。只有 C1–C6 全部通过时才评定 C7。</w:t>
      </w:r>
    </w:p>
    <w:p w14:paraId="5D340472">
      <w:pPr>
        <w:spacing w:before="0" w:after="60" w:line="300" w:lineRule="auto"/>
        <w:ind w:firstLine="420" w:firstLineChars="200"/>
        <w:jc w:val="both"/>
      </w:pPr>
      <w:r>
        <w:rPr>
          <w:rFonts w:ascii="Times New Roman" w:hAnsi="Times New Roman" w:eastAsia="宋体" w:cs="Times New Roman"/>
          <w:b w:val="0"/>
          <w:sz w:val="21"/>
        </w:rPr>
        <w:t>判决在种子与组两个层面进行。每个实验条件固定 8 个科学种子，组通过定义为至少 7 个种子通过全部准则。7/8 是一项约定，而不是由功效分析推出的最优阈值，因此每个通过比例都同时报告 Wilson 95% 区间</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。区间较宽时，点估计未达 7/8 只表明在该预注册规则下未通过，并不排除更大预算下通过概率上升的可能。验收文本、组门与无效规则均在观察科学种子之前冻结，符合把预测与事后解释分开的预注册要求</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。超参数只允许在另外 4 个调参种子上选择，不得在科学种子上调整。</w:t>
      </w:r>
    </w:p>
    <w:p w14:paraId="4E56EC33">
      <w:pPr>
        <w:spacing w:before="0" w:after="60" w:line="300" w:lineRule="auto"/>
        <w:ind w:firstLine="420" w:firstLineChars="200"/>
        <w:jc w:val="both"/>
      </w:pPr>
      <w:r>
        <w:rPr>
          <w:rFonts w:ascii="Times New Roman" w:hAnsi="Times New Roman" w:eastAsia="宋体" w:cs="Times New Roman"/>
          <w:b w:val="0"/>
          <w:sz w:val="21"/>
        </w:rPr>
        <w:t>为防止目标信息经由非预期通道泄漏，协议对每个种子运行泄漏探针，泄漏超过预注册界线的种子记为无效（VOID）。无效种子仍计入分母，因而会降低通过数，但不被当作能力上的失败证据。这一规则使组通过率对泄漏保持保守：若剔除无效种子，分母缩小，通过比例反而可能被抬高。玩具任务的科学种子事先经泄漏探针筛选，入选种子的泄漏均值不超过 0.30，筛选规则在运行前写定。本文报告的主要组结果中，除新颖度门一臂有 1 个无效种子外，其余各臂的无效种子数均为 0。</w:t>
      </w:r>
    </w:p>
    <w:p w14:paraId="7F26ABBD">
      <w:pPr>
        <w:spacing w:before="0" w:after="60" w:line="300" w:lineRule="auto"/>
        <w:ind w:firstLine="420" w:firstLineChars="200"/>
        <w:jc w:val="both"/>
      </w:pPr>
      <w:r>
        <w:rPr>
          <w:rFonts w:ascii="Times New Roman" w:hAnsi="Times New Roman" w:eastAsia="宋体" w:cs="Times New Roman"/>
          <w:b w:val="0"/>
          <w:sz w:val="21"/>
        </w:rPr>
        <w:t>验收准则本身的区分力同样需要检验，而目前的验证程度并不均一。加压网格上的写通道干预（质心钉扎）与长窗类检查，以及指定寄存器作为“标准可被满足”的阳性对照，已在已知为真和已知为假的工程对照体上得到区分。玩具任务上的回报、长程保持与泄漏各项，以无记忆基线作为对照。解码、翻转与玩具任务上的写通道干预尚未在专门构造的假智能体上验证，其中部分准则与回报准则存在逻辑连带，例如回报通过时线性解码与翻转往往同步通过。因此，本文把这套准则视为部分经过验证的检验组，而不是彼此独立、业已完备的检验；各项的验证状态见附录 A。</w:t>
      </w:r>
    </w:p>
    <w:p w14:paraId="72906CD6">
      <w:pPr>
        <w:spacing w:before="180" w:after="80" w:line="300" w:lineRule="auto"/>
        <w:ind w:firstLine="0" w:firstLineChars="0"/>
        <w:jc w:val="left"/>
      </w:pPr>
      <w:r>
        <w:rPr>
          <w:rFonts w:ascii="Times New Roman" w:hAnsi="Times New Roman" w:eastAsia="黑体" w:cs="Times New Roman"/>
          <w:b/>
          <w:sz w:val="24"/>
        </w:rPr>
        <w:t>3.3  证据分层与四项研究的定位</w:t>
      </w:r>
    </w:p>
    <w:p w14:paraId="1881424B">
      <w:pPr>
        <w:spacing w:before="0" w:after="60" w:line="300" w:lineRule="auto"/>
        <w:ind w:firstLine="420" w:firstLineChars="200"/>
        <w:jc w:val="both"/>
      </w:pPr>
      <w:r>
        <w:rPr>
          <w:rFonts w:ascii="Times New Roman" w:hAnsi="Times New Roman" w:eastAsia="宋体" w:cs="Times New Roman"/>
          <w:b w:val="0"/>
          <w:sz w:val="21"/>
        </w:rPr>
        <w:t>研究过程中，部分对照实验是在原目标实验文稿（下称原文稿）定稿之后补做的。为避免事后结果混入预注册判决，本文把证据分为四层。L0 为验证性证据，即跑前冻结的验收文本在科学种子上的结果，如玩具任务上的门控网络、指定寄存器与无记忆基线。L1 为披露的偏离，即协议内已披露的实现修正及其后的重跑，例如回报尺度标准化；此类修正只撤销由错误实现得出的结论，不使已作废的实现重新生效。L2 为事后实验，在正文与表中以 † 标出，包括调参后的无门网络、修正后的进化策略以及加压网格上的门控学习与追加预算；它们用于界定边界，不得回写组门定义。L3 为探索性分析，如词表结果确定之后的提示词消融，单独报告，不得替换已报告的阴性数字。各层的时间线索见附录 C。</w:t>
      </w:r>
    </w:p>
    <w:p w14:paraId="63D1D338">
      <w:pPr>
        <w:spacing w:before="0" w:after="60" w:line="300" w:lineRule="auto"/>
        <w:ind w:firstLine="420" w:firstLineChars="200"/>
        <w:jc w:val="both"/>
      </w:pPr>
      <w:r>
        <w:rPr>
          <w:rFonts w:ascii="Times New Roman" w:hAnsi="Times New Roman" w:eastAsia="宋体" w:cs="Times New Roman"/>
          <w:b w:val="0"/>
          <w:sz w:val="21"/>
        </w:rPr>
        <w:t xml:space="preserve">四项研究回答不同的测量问题，分析单位也各不相同：伴写研究的单位是文本段与少量作者标注，符号实验的单位是一次训练运行是否越过预设准确率，目标实验的单位是一个种子是否通过全部预注册准则，行为层研究的单位是读者对一段对话写下的一次读法及其理由。因此，四项研究的样本、模型与验收标准不能合并为一个总准确率，也不能视为对同一原假设的多次重复检验。它们之间的联系在于问题的逐步收窄与回返：第一项研究表明词表路线不足以支撑对作者状态的判断，第二项研究提示加厚表面指令不宜被默认为提高上限的途径，二者共同促使检验转向可撤除、可干预的内部状态；第四项研究再把同一套纪律带回人与人之间，询问行为上的共址能否被读出。贯穿四项研究的是同一套假阳性控制要求，而不是一条逐级递增的能力证据链；凡并列不同研究的数字，本文均注明其来源任务。</w:t>
      </w:r>
    </w:p>
    <w:p w14:paraId="67F9715E">
      <w:pPr>
        <w:spacing w:before="0" w:after="60" w:line="300" w:lineRule="auto"/>
        <w:ind w:firstLine="420" w:firstLineChars="200"/>
        <w:jc w:val="both"/>
      </w:pPr>
      <w:r>
        <w:rPr>
          <w:rFonts w:ascii="Times New Roman" w:hAnsi="Times New Roman" w:eastAsia="宋体" w:cs="Times New Roman"/>
          <w:b w:val="0"/>
          <w:sz w:val="21"/>
        </w:rPr>
        <w:t>与上述分层相配套，判决的解释受同一组规则约束。组通过只在所测任务、结构与预算上成立，不外推到其他任务或产品级模型；未达组门只表示在该规则与预算下未通过，可训练性上的差异既不等同于容量不足，更不等同于原理上不可达；设计者提供的结构先验与接线一律记为设计者贡献，通过结果不表述为系统发现了目标内容。第 4 节报告结果时不再逐条重复这些规则，涉及具体结果的边界均以此为准，并在第 5.3 节集中讨论。</w:t>
      </w:r>
    </w:p>
    <w:p>
      <w:pPr>
        <w:spacing w:before="180" w:after="80" w:line="300" w:lineRule="auto"/>
        <w:ind w:firstLine="0" w:firstLineChars="0"/>
        <w:jc w:val="left"/>
      </w:pPr>
      <w:r>
        <w:rPr>
          <w:rFonts w:ascii="Times New Roman" w:hAnsi="Times New Roman" w:eastAsia="黑体" w:cs="Times New Roman"/>
          <w:b/>
          <w:sz w:val="24"/>
        </w:rPr>
        <w:t xml:space="preserve">3.4  行为层共址的读法</w:t>
      </w:r>
    </w:p>
    <w:p>
      <w:pPr>
        <w:spacing w:before="0" w:after="60" w:line="300" w:lineRule="auto"/>
        <w:ind w:firstLine="420" w:firstLineChars="200"/>
        <w:jc w:val="both"/>
      </w:pPr>
      <w:r>
        <w:rPr>
          <w:rFonts w:ascii="Times New Roman" w:hAnsi="Times New Roman" w:eastAsia="宋体" w:cs="Times New Roman"/>
          <w:b w:val="0"/>
          <w:sz w:val="21"/>
        </w:rPr>
        <w:t xml:space="preserve">研究四不在内部状态上施加干预，而是在行为上询问共址。它使用一个共享可寻址坐标系：主干是一组带释义的结点，每个结点是一个可编辑的地址；一段对话（锚）的停靠是落在主干上的一小块子图。系统只提议停靠，作者裁决是否可用，提议不自动写入主干。在这一框架下，懂人／知音共址被操作化为行为判据：读者能否指出两位说话人在何处指向同一件事、何处接住了对方，并且这一指认对作者成立。把结点数组填对只是途径；共址成立与否，看的是双方是否站到了同一个地址。</w:t>
      </w:r>
    </w:p>
    <w:p>
      <w:pPr>
        <w:spacing w:before="0" w:after="60" w:line="300" w:lineRule="auto"/>
        <w:ind w:firstLine="420" w:firstLineChars="200"/>
        <w:jc w:val="both"/>
      </w:pPr>
      <w:r>
        <w:rPr>
          <w:rFonts w:ascii="Times New Roman" w:hAnsi="Times New Roman" w:eastAsia="宋体" w:cs="Times New Roman"/>
          <w:b w:val="0"/>
          <w:sz w:val="21"/>
        </w:rPr>
        <w:t xml:space="preserve">读法上有三条约定。第一，大语言模型被当作读者，它的判断是解释，而不是固定仪器的读数；同一读者在同一材料上的三次重复更接近同一个人读了三遍，而不是三个独立样本。第二，计数只作粗筛，判读以逐句精读读者写下的理由为准；粗筛与细读不一致时两者都报告，并写明细读的依据。第三，话题连续不等于所指承接：两人在谈同一件事，并不说明后一句接住了前一句的所指。真实对话材料只以抽象方式描述，转写与原始读数不进入公开仓库。各项设计在调用前写成纸面，粗筛规则事先写定；按第 3.3 节的分层，研究四的细读结论属于 L3 探索性证据。</w:t>
      </w:r>
    </w:p>
    <w:p w14:paraId="05885581">
      <w:pPr>
        <w:spacing w:before="240" w:after="120" w:line="300" w:lineRule="auto"/>
        <w:ind w:firstLine="0" w:firstLineChars="0"/>
        <w:jc w:val="left"/>
      </w:pPr>
      <w:r>
        <w:rPr>
          <w:rFonts w:ascii="Times New Roman" w:hAnsi="Times New Roman" w:eastAsia="黑体" w:cs="Times New Roman"/>
          <w:b/>
          <w:sz w:val="28"/>
        </w:rPr>
        <w:t>4  实验与结果</w:t>
      </w:r>
    </w:p>
    <w:p w14:paraId="4B8E1142">
      <w:pPr>
        <w:spacing w:before="180" w:after="80" w:line="300" w:lineRule="auto"/>
        <w:ind w:firstLine="0" w:firstLineChars="0"/>
        <w:jc w:val="left"/>
      </w:pPr>
      <w:r>
        <w:rPr>
          <w:rFonts w:ascii="Times New Roman" w:hAnsi="Times New Roman" w:eastAsia="黑体" w:cs="Times New Roman"/>
          <w:b/>
          <w:sz w:val="24"/>
        </w:rPr>
        <w:t>4.1  研究一：伴写界面中的词表可分性</w:t>
      </w:r>
    </w:p>
    <w:p w14:paraId="6CDA04DE">
      <w:pPr>
        <w:spacing w:before="0" w:after="60" w:line="300" w:lineRule="auto"/>
        <w:ind w:firstLine="420" w:firstLineChars="200"/>
        <w:jc w:val="both"/>
      </w:pPr>
      <w:r>
        <w:rPr>
          <w:rFonts w:ascii="Times New Roman" w:hAnsi="Times New Roman" w:eastAsia="宋体" w:cs="Times New Roman"/>
          <w:b w:val="0"/>
          <w:sz w:val="21"/>
        </w:rPr>
        <w:t>研究对象是作者本人的诗歌、散文与实验小说写作实践，属于单一个案的设计研究。伴写系统以网页形式运行，在作者停笔的时间窗内介入，只提供扩张性的方向提示，不提供收敛的成段建议。其设计遵循三项约束：不打断正在进行的书写，给出方向而非成品，由作者作最后决定。工程上，这些约束落实为分层工作流、模式矩阵，以及把重写按钮同时作为标注事件的记录机制。信息截止约为 2026 年 9 月 30 日，对应内部版本 v3.25，该版本号仅用于标明界面快照。触发时序如图 1 所示：作者有输入动作时，系统只重新挂起探针，探针到期后才判断作者状态；七种状态中有三种直接保持沉默，其余状态在出声之前还须补足延迟并通过内容门槛。</w:t>
      </w:r>
    </w:p>
    <w:p w14:paraId="4E2AEA9C">
      <w:pPr>
        <w:keepNext/>
        <w:spacing w:before="160" w:after="40" w:line="240" w:lineRule="auto"/>
        <w:ind w:firstLine="0" w:firstLineChars="0"/>
        <w:jc w:val="center"/>
      </w:pPr>
      <w:r>
        <w:drawing>
          <wp:inline distT="0" distB="0" distL="114300" distR="114300">
            <wp:extent cx="4589145" cy="241427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90000" cy="2414974"/>
                    </a:xfrm>
                    <a:prstGeom prst="rect">
                      <a:avLst/>
                    </a:prstGeom>
                  </pic:spPr>
                </pic:pic>
              </a:graphicData>
            </a:graphic>
          </wp:inline>
        </w:drawing>
      </w:r>
    </w:p>
    <w:p w14:paraId="232BA3B8">
      <w:pPr>
        <w:spacing w:before="60" w:after="160" w:line="276" w:lineRule="auto"/>
        <w:ind w:firstLine="0" w:firstLineChars="0"/>
        <w:jc w:val="both"/>
      </w:pPr>
      <w:bookmarkStart w:id="0" w:name="fig1"/>
      <w:r>
        <w:rPr>
          <w:rFonts w:ascii="Times New Roman" w:hAnsi="Times New Roman" w:eastAsia="黑体"/>
          <w:b/>
          <w:sz w:val="18"/>
        </w:rPr>
        <w:t>图 1  伴写系统的两段式探针触发时序</w:t>
      </w:r>
      <w:r>
        <w:rPr>
          <w:rFonts w:ascii="Times New Roman" w:hAnsi="Times New Roman" w:eastAsia="宋体"/>
          <w:sz w:val="18"/>
        </w:rPr>
        <w:t>。据伴写系统原论文图 1 重绘；原图出声框漏列 RECONTEXT 态</w:t>
      </w:r>
      <w:bookmarkEnd w:id="0"/>
    </w:p>
    <w:p w14:paraId="306C2928">
      <w:pPr>
        <w:spacing w:before="0" w:after="60" w:line="300" w:lineRule="auto"/>
        <w:ind w:firstLine="420" w:firstLineChars="200"/>
        <w:jc w:val="both"/>
      </w:pPr>
      <w:r>
        <w:rPr>
          <w:rFonts w:ascii="Times New Roman" w:hAnsi="Times New Roman" w:eastAsia="宋体" w:cs="Times New Roman"/>
          <w:b w:val="0"/>
          <w:sz w:val="21"/>
        </w:rPr>
        <w:t>这一设计依赖一个前提：系统能够从当前文本判断作者所处的写作状态。研究一检验的正是该前提的一个可操作版本，即在现有词表特征实现下，“问题驱动或故事驱动”这一代理轴能否被自动复现。实验没有采集作者对每一段文本的真实状态标签，而是以体裁和作品作为代理标签。因此，若结果为阴性，它否定的是该代理任务上的词表可分性，而不是作者标注自身状态的能力；后者仍是一个未经检验的前提，第 6 节将其列为局限。</w:t>
      </w:r>
    </w:p>
    <w:p w14:paraId="05B51474">
      <w:pPr>
        <w:spacing w:before="0" w:after="60" w:line="300" w:lineRule="auto"/>
        <w:ind w:firstLine="420" w:firstLineChars="200"/>
        <w:jc w:val="both"/>
      </w:pPr>
      <w:r>
        <w:rPr>
          <w:rFonts w:ascii="Times New Roman" w:hAnsi="Times New Roman" w:eastAsia="宋体" w:cs="Times New Roman"/>
          <w:b w:val="0"/>
          <w:sz w:val="21"/>
        </w:rPr>
        <w:t>语料导入 20589 行，施加 40 字下限后保留 15340 段，其中现代主义小说 8542 段，抒情散文 6635 段，其余 163 段；格非的文本占 7202 段。结果应理解为该语料与该特征实现上的结果。如表 1 所示，同语言评估的曲线下面积为 0.489，跨语言评估为 0.523，均接近随机水平。对话标记密度在跨语言评估中为 0.627，在同语言评估中降至 0.425（图 2(a)），表明一项在跨语言条件下看似有效的特征，可能只是语料切分方式造成的假信号。贡献接近零的特征合计约占权重的 65%，说明多数特征并不承载该代理轴。</w:t>
      </w:r>
    </w:p>
    <w:p w14:paraId="16662EF3">
      <w:pPr>
        <w:keepNext/>
        <w:spacing w:before="120" w:after="60" w:line="276" w:lineRule="auto"/>
        <w:ind w:firstLine="0" w:firstLineChars="0"/>
        <w:jc w:val="center"/>
      </w:pPr>
      <w:bookmarkStart w:id="1" w:name="tbl1"/>
      <w:r>
        <w:rPr>
          <w:rFonts w:ascii="Times New Roman" w:hAnsi="Times New Roman" w:eastAsia="宋体" w:cs="Times New Roman"/>
          <w:b/>
          <w:sz w:val="18"/>
        </w:rPr>
        <w:t>表 1  伴写代理轴的主要测量</w:t>
      </w:r>
      <w:bookmarkEnd w:id="1"/>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608"/>
        <w:gridCol w:w="1814"/>
        <w:gridCol w:w="4081"/>
      </w:tblGrid>
      <w:tr w14:paraId="36F53B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608" w:type="dxa"/>
            <w:tcBorders>
              <w:top w:val="nil"/>
              <w:left w:val="nil"/>
              <w:bottom w:val="single" w:color="000000" w:sz="6" w:space="0"/>
              <w:right w:val="nil"/>
            </w:tcBorders>
          </w:tcPr>
          <w:p w14:paraId="4C0EE63A">
            <w:pPr>
              <w:keepNext/>
              <w:spacing w:before="40" w:after="40" w:line="240" w:lineRule="auto"/>
              <w:ind w:firstLine="0" w:firstLineChars="0"/>
              <w:jc w:val="left"/>
            </w:pPr>
            <w:r>
              <w:rPr>
                <w:rFonts w:ascii="Times New Roman" w:hAnsi="Times New Roman" w:eastAsia="宋体" w:cs="Times New Roman"/>
                <w:b/>
                <w:sz w:val="18"/>
              </w:rPr>
              <w:t>测量</w:t>
            </w:r>
          </w:p>
        </w:tc>
        <w:tc>
          <w:tcPr>
            <w:tcW w:w="1814" w:type="dxa"/>
            <w:tcBorders>
              <w:top w:val="nil"/>
              <w:left w:val="nil"/>
              <w:bottom w:val="single" w:color="000000" w:sz="6" w:space="0"/>
              <w:right w:val="nil"/>
            </w:tcBorders>
          </w:tcPr>
          <w:p w14:paraId="2DFAC18E">
            <w:pPr>
              <w:keepNext/>
              <w:spacing w:before="40" w:after="40" w:line="240" w:lineRule="auto"/>
              <w:ind w:firstLine="0" w:firstLineChars="0"/>
              <w:jc w:val="center"/>
            </w:pPr>
            <w:r>
              <w:rPr>
                <w:rFonts w:ascii="Times New Roman" w:hAnsi="Times New Roman" w:eastAsia="宋体" w:cs="Times New Roman"/>
                <w:b/>
                <w:sz w:val="18"/>
              </w:rPr>
              <w:t>数值</w:t>
            </w:r>
          </w:p>
        </w:tc>
        <w:tc>
          <w:tcPr>
            <w:tcW w:w="4082" w:type="dxa"/>
            <w:tcBorders>
              <w:top w:val="nil"/>
              <w:left w:val="nil"/>
              <w:bottom w:val="single" w:color="000000" w:sz="6" w:space="0"/>
              <w:right w:val="nil"/>
            </w:tcBorders>
          </w:tcPr>
          <w:p w14:paraId="6194B9E1">
            <w:pPr>
              <w:keepNext/>
              <w:spacing w:before="40" w:after="40" w:line="240" w:lineRule="auto"/>
              <w:ind w:firstLine="0" w:firstLineChars="0"/>
              <w:jc w:val="center"/>
            </w:pPr>
            <w:r>
              <w:rPr>
                <w:rFonts w:ascii="Times New Roman" w:hAnsi="Times New Roman" w:eastAsia="宋体" w:cs="Times New Roman"/>
                <w:b/>
                <w:sz w:val="18"/>
              </w:rPr>
              <w:t>解读</w:t>
            </w:r>
          </w:p>
        </w:tc>
      </w:tr>
      <w:tr w14:paraId="7CE2B2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A10BCEA">
            <w:pPr>
              <w:keepNext/>
              <w:spacing w:before="40" w:after="40" w:line="240" w:lineRule="auto"/>
              <w:ind w:firstLine="0" w:firstLineChars="0"/>
              <w:jc w:val="left"/>
            </w:pPr>
            <w:r>
              <w:rPr>
                <w:rFonts w:ascii="Times New Roman" w:hAnsi="Times New Roman" w:eastAsia="宋体" w:cs="Times New Roman"/>
                <w:b w:val="0"/>
                <w:sz w:val="18"/>
              </w:rPr>
              <w:t>同语言曲线下面积</w:t>
            </w:r>
          </w:p>
        </w:tc>
        <w:tc>
          <w:tcPr>
            <w:tcW w:w="1814" w:type="dxa"/>
          </w:tcPr>
          <w:p w14:paraId="425566F6">
            <w:pPr>
              <w:keepNext/>
              <w:spacing w:before="40" w:after="40" w:line="240" w:lineRule="auto"/>
              <w:ind w:firstLine="0" w:firstLineChars="0"/>
              <w:jc w:val="center"/>
            </w:pPr>
            <w:r>
              <w:rPr>
                <w:rFonts w:ascii="Times New Roman" w:hAnsi="Times New Roman" w:eastAsia="宋体" w:cs="Times New Roman"/>
                <w:b w:val="0"/>
                <w:sz w:val="18"/>
              </w:rPr>
              <w:t>0.489</w:t>
            </w:r>
          </w:p>
        </w:tc>
        <w:tc>
          <w:tcPr>
            <w:tcW w:w="4082" w:type="dxa"/>
          </w:tcPr>
          <w:p w14:paraId="3AB01AB1">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C600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7D24C829">
            <w:pPr>
              <w:keepNext/>
              <w:spacing w:before="40" w:after="40" w:line="240" w:lineRule="auto"/>
              <w:ind w:firstLine="0" w:firstLineChars="0"/>
              <w:jc w:val="left"/>
            </w:pPr>
            <w:r>
              <w:rPr>
                <w:rFonts w:ascii="Times New Roman" w:hAnsi="Times New Roman" w:eastAsia="宋体" w:cs="Times New Roman"/>
                <w:b w:val="0"/>
                <w:sz w:val="18"/>
              </w:rPr>
              <w:t>跨语言曲线下面积</w:t>
            </w:r>
          </w:p>
        </w:tc>
        <w:tc>
          <w:tcPr>
            <w:tcW w:w="1814" w:type="dxa"/>
          </w:tcPr>
          <w:p w14:paraId="136D0629">
            <w:pPr>
              <w:keepNext/>
              <w:spacing w:before="40" w:after="40" w:line="240" w:lineRule="auto"/>
              <w:ind w:firstLine="0" w:firstLineChars="0"/>
              <w:jc w:val="center"/>
            </w:pPr>
            <w:r>
              <w:rPr>
                <w:rFonts w:ascii="Times New Roman" w:hAnsi="Times New Roman" w:eastAsia="宋体" w:cs="Times New Roman"/>
                <w:b w:val="0"/>
                <w:sz w:val="18"/>
              </w:rPr>
              <w:t>0.523</w:t>
            </w:r>
          </w:p>
        </w:tc>
        <w:tc>
          <w:tcPr>
            <w:tcW w:w="4082" w:type="dxa"/>
          </w:tcPr>
          <w:p w14:paraId="2E88FF5F">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A842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8FDB4F1">
            <w:pPr>
              <w:keepNext/>
              <w:spacing w:before="40" w:after="40" w:line="240" w:lineRule="auto"/>
              <w:ind w:firstLine="0" w:firstLineChars="0"/>
              <w:jc w:val="left"/>
            </w:pPr>
            <w:r>
              <w:rPr>
                <w:rFonts w:ascii="Times New Roman" w:hAnsi="Times New Roman" w:eastAsia="宋体" w:cs="Times New Roman"/>
                <w:b w:val="0"/>
                <w:sz w:val="18"/>
              </w:rPr>
              <w:t>对话标记密度</w:t>
            </w:r>
          </w:p>
        </w:tc>
        <w:tc>
          <w:tcPr>
            <w:tcW w:w="1814" w:type="dxa"/>
          </w:tcPr>
          <w:p w14:paraId="335900AF">
            <w:pPr>
              <w:keepNext/>
              <w:spacing w:before="40" w:after="40" w:line="240" w:lineRule="auto"/>
              <w:ind w:firstLine="0" w:firstLineChars="0"/>
              <w:jc w:val="center"/>
            </w:pPr>
            <w:r>
              <w:rPr>
                <w:rFonts w:ascii="Times New Roman" w:hAnsi="Times New Roman" w:eastAsia="宋体" w:cs="Times New Roman"/>
                <w:b w:val="0"/>
                <w:sz w:val="18"/>
              </w:rPr>
              <w:t>0.627 → 0.425</w:t>
            </w:r>
          </w:p>
        </w:tc>
        <w:tc>
          <w:tcPr>
            <w:tcW w:w="4082" w:type="dxa"/>
          </w:tcPr>
          <w:p w14:paraId="28D6DB73">
            <w:pPr>
              <w:keepNext/>
              <w:spacing w:before="40" w:after="40" w:line="240" w:lineRule="auto"/>
              <w:ind w:firstLine="0" w:firstLineChars="0"/>
              <w:jc w:val="center"/>
            </w:pPr>
            <w:r>
              <w:rPr>
                <w:rFonts w:ascii="Times New Roman" w:hAnsi="Times New Roman" w:eastAsia="宋体" w:cs="Times New Roman"/>
                <w:b w:val="0"/>
                <w:sz w:val="18"/>
              </w:rPr>
              <w:t>跨语言到同语言，假信号</w:t>
            </w:r>
          </w:p>
        </w:tc>
      </w:tr>
      <w:tr w14:paraId="69FF24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1EB0B5FF">
            <w:pPr>
              <w:keepNext/>
              <w:spacing w:before="40" w:after="40" w:line="240" w:lineRule="auto"/>
              <w:ind w:firstLine="0" w:firstLineChars="0"/>
              <w:jc w:val="left"/>
            </w:pPr>
            <w:r>
              <w:rPr>
                <w:rFonts w:ascii="Times New Roman" w:hAnsi="Times New Roman" w:eastAsia="宋体" w:cs="Times New Roman"/>
                <w:b w:val="0"/>
                <w:sz w:val="18"/>
              </w:rPr>
              <w:t>近零贡献特征权重</w:t>
            </w:r>
          </w:p>
        </w:tc>
        <w:tc>
          <w:tcPr>
            <w:tcW w:w="1814" w:type="dxa"/>
          </w:tcPr>
          <w:p w14:paraId="6EAC6F7A">
            <w:pPr>
              <w:keepNext/>
              <w:spacing w:before="40" w:after="40" w:line="240" w:lineRule="auto"/>
              <w:ind w:firstLine="0" w:firstLineChars="0"/>
              <w:jc w:val="center"/>
            </w:pPr>
            <w:r>
              <w:rPr>
                <w:rFonts w:ascii="Times New Roman" w:hAnsi="Times New Roman" w:eastAsia="宋体" w:cs="Times New Roman"/>
                <w:b w:val="0"/>
                <w:sz w:val="18"/>
              </w:rPr>
              <w:t>约 65%</w:t>
            </w:r>
          </w:p>
        </w:tc>
        <w:tc>
          <w:tcPr>
            <w:tcW w:w="4082" w:type="dxa"/>
          </w:tcPr>
          <w:p w14:paraId="2FE5A106">
            <w:pPr>
              <w:keepNext/>
              <w:spacing w:before="40" w:after="40" w:line="240" w:lineRule="auto"/>
              <w:ind w:firstLine="0" w:firstLineChars="0"/>
              <w:jc w:val="center"/>
            </w:pPr>
            <w:r>
              <w:rPr>
                <w:rFonts w:ascii="Times New Roman" w:hAnsi="Times New Roman" w:eastAsia="宋体" w:cs="Times New Roman"/>
                <w:b w:val="0"/>
                <w:sz w:val="18"/>
              </w:rPr>
              <w:t>多数特征不承载该轴</w:t>
            </w:r>
          </w:p>
        </w:tc>
      </w:tr>
      <w:tr w14:paraId="780741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516B8514">
            <w:pPr>
              <w:keepNext/>
              <w:spacing w:before="40" w:after="40" w:line="240" w:lineRule="auto"/>
              <w:ind w:firstLine="0" w:firstLineChars="0"/>
              <w:jc w:val="left"/>
            </w:pPr>
            <w:r>
              <w:rPr>
                <w:rFonts w:ascii="Times New Roman" w:hAnsi="Times New Roman" w:eastAsia="宋体" w:cs="Times New Roman"/>
                <w:b w:val="0"/>
                <w:sz w:val="18"/>
              </w:rPr>
              <w:t>作者负标注</w:t>
            </w:r>
          </w:p>
        </w:tc>
        <w:tc>
          <w:tcPr>
            <w:tcW w:w="1814" w:type="dxa"/>
          </w:tcPr>
          <w:p w14:paraId="6499717A">
            <w:pPr>
              <w:keepNext/>
              <w:spacing w:before="40" w:after="40" w:line="240" w:lineRule="auto"/>
              <w:ind w:firstLine="0" w:firstLineChars="0"/>
              <w:jc w:val="center"/>
            </w:pPr>
            <w:r>
              <w:rPr>
                <w:rFonts w:ascii="Times New Roman" w:hAnsi="Times New Roman" w:eastAsia="宋体" w:cs="Times New Roman"/>
                <w:b w:val="0"/>
                <w:sz w:val="18"/>
              </w:rPr>
              <w:t>31.8%（22 条）</w:t>
            </w:r>
          </w:p>
        </w:tc>
        <w:tc>
          <w:tcPr>
            <w:tcW w:w="4082" w:type="dxa"/>
          </w:tcPr>
          <w:p w14:paraId="5571DAB3">
            <w:pPr>
              <w:keepNext/>
              <w:spacing w:before="40" w:after="40" w:line="240" w:lineRule="auto"/>
              <w:ind w:firstLine="0" w:firstLineChars="0"/>
              <w:jc w:val="center"/>
            </w:pPr>
            <w:r>
              <w:rPr>
                <w:rFonts w:ascii="Times New Roman" w:hAnsi="Times New Roman" w:eastAsia="宋体" w:cs="Times New Roman"/>
                <w:b w:val="0"/>
                <w:sz w:val="18"/>
              </w:rPr>
              <w:t>与 28 条口径的 32.1% 分开报告</w:t>
            </w:r>
          </w:p>
        </w:tc>
      </w:tr>
      <w:tr w14:paraId="13F437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23500B03">
            <w:pPr>
              <w:spacing w:before="40" w:after="40" w:line="240" w:lineRule="auto"/>
              <w:ind w:firstLine="0" w:firstLineChars="0"/>
              <w:jc w:val="left"/>
            </w:pPr>
            <w:r>
              <w:rPr>
                <w:rFonts w:ascii="Times New Roman" w:hAnsi="Times New Roman" w:eastAsia="宋体" w:cs="Times New Roman"/>
                <w:b w:val="0"/>
                <w:sz w:val="18"/>
              </w:rPr>
              <w:t>沉默精确率 / 召回率</w:t>
            </w:r>
          </w:p>
        </w:tc>
        <w:tc>
          <w:tcPr>
            <w:tcW w:w="1814" w:type="dxa"/>
          </w:tcPr>
          <w:p w14:paraId="75E2A249">
            <w:pPr>
              <w:spacing w:before="40" w:after="40" w:line="240" w:lineRule="auto"/>
              <w:ind w:firstLine="0" w:firstLineChars="0"/>
              <w:jc w:val="center"/>
            </w:pPr>
            <w:r>
              <w:rPr>
                <w:rFonts w:ascii="Times New Roman" w:hAnsi="Times New Roman" w:eastAsia="宋体" w:cs="Times New Roman"/>
                <w:b w:val="0"/>
                <w:sz w:val="18"/>
              </w:rPr>
              <w:t>0.67 / 0.16</w:t>
            </w:r>
          </w:p>
        </w:tc>
        <w:tc>
          <w:tcPr>
            <w:tcW w:w="4082" w:type="dxa"/>
          </w:tcPr>
          <w:p w14:paraId="3A0716EE">
            <w:pPr>
              <w:spacing w:before="40" w:after="40" w:line="240" w:lineRule="auto"/>
              <w:ind w:firstLine="0" w:firstLineChars="0"/>
              <w:jc w:val="center"/>
            </w:pPr>
            <w:r>
              <w:rPr>
                <w:rFonts w:ascii="Times New Roman" w:hAnsi="Times New Roman" w:eastAsia="宋体" w:cs="Times New Roman"/>
                <w:b w:val="0"/>
                <w:sz w:val="18"/>
              </w:rPr>
              <w:t>n = 7，只否定质量保证</w:t>
            </w:r>
          </w:p>
        </w:tc>
      </w:tr>
    </w:tbl>
    <w:p w14:paraId="33745B5E">
      <w:pPr>
        <w:spacing w:before="0" w:after="60" w:line="300" w:lineRule="auto"/>
        <w:ind w:firstLine="420" w:firstLineChars="200"/>
        <w:jc w:val="both"/>
      </w:pPr>
      <w:r>
        <w:rPr>
          <w:rFonts w:ascii="Times New Roman" w:hAnsi="Times New Roman" w:eastAsia="宋体" w:cs="Times New Roman"/>
          <w:b w:val="0"/>
          <w:sz w:val="21"/>
        </w:rPr>
        <w:t>辅助测量的样本量普遍较小，只能提供补充信息。作者对系统输出的负向标注比例，在 22 条记录上为 31.8%，三批合计 28 条时为 32.1%；两批口径不同，不应合并为一个精确率。沉默决策的精确率为 0.67、召回率为 0.16，但沉默一侧只有 7 条样本，只足以否定“沉默等于质量保证”，不足以证明沉默策略有效。文明度得分对作者的负向标注没有预测力。开发过程中观察到 3 次模板化坍缩；单次重写的成功率约为三分之二，但这是开发过程中的估计，而非预先登记的受控测量，故不作为主结果。</w:t>
      </w:r>
    </w:p>
    <w:p w14:paraId="366EA4D9">
      <w:pPr>
        <w:spacing w:before="0" w:after="60" w:line="300" w:lineRule="auto"/>
        <w:ind w:firstLine="420" w:firstLineChars="200"/>
        <w:jc w:val="both"/>
      </w:pPr>
      <w:r>
        <w:rPr>
          <w:rFonts w:ascii="Times New Roman" w:hAnsi="Times New Roman" w:eastAsia="宋体" w:cs="Times New Roman"/>
          <w:b w:val="0"/>
          <w:sz w:val="21"/>
        </w:rPr>
        <w:t>词表阴性直接改变了界面设计：问题驱动、故事驱动与混合模式改由作者手动选择，沉默与生成并列为同等的界面动作，而不再是生成失败之后的残余情形。需要指出的是，作者同时是开发者与标注者，确认偏误无法通过盲法消除；对写作的干扰程度与“不定向程度”也未被操作化为独立测量。因此，上述设计原则只是由阴性结果推出的工程决定，而不是已经证实的用户体验规律。</w:t>
      </w:r>
    </w:p>
    <w:p w14:paraId="00000002">
      <w:pPr>
        <w:spacing w:before="0" w:after="60" w:line="300" w:lineRule="auto"/>
        <w:ind w:firstLine="420" w:firstLineChars="200"/>
        <w:jc w:val="both"/>
      </w:pPr>
      <w:r>
        <w:rPr>
          <w:rFonts w:ascii="Times New Roman" w:hAnsi="Times New Roman"/>
          <w:b w:val="0"/>
          <w:sz w:val="21"/>
        </w:rPr>
        <w:t>2026年10月16日的后续改动不改上列曲线下面积，也不把模式判断交还词表。协变树的结点要从推荐过程里积累的兴趣资产衍生，再由用户输入矫正模型落在哪个结点上。这份资产不是从文章归纳出来的分类树。现在没有这项支撑。缺的两截见第5.4节。下面的对照都用实验者手写的句子，只是最小模型的可行性，不是对协变树的验证。实验副本与发行目录都在模型生成之后增加代码闸门：自重复在出口处计算；模型自报的层名弃用；结构层只按当前文本中核对得上的事实路由。记忆仍是只追加的地址与一句话断言，地址整袋不放进作者这一轮的提示；账本中出现的地址须在新文本里再次找到证据词，才允许留在出口。未指定父边时，不替换作者停下时的提示，也不追加事实三行。发行目录在既有 v3 策略下，打开该开关与关闭时的用户提示和系统提示逐字相同。只有本轮已经指定父边，才改送那一句。一次这样的调用，回复带上了指定句里的事物，没有带上另一枝。上述条件用夹具走通了真实的 call_model 调用链，包括生成前检测漏掉的复读、未核对事实仍被写出时的撤回，以及账本被改写后指纹失效、不再发放引用许可。夹具核对本身不调用在线模型。预注册对照 E12 调用了 dots3，材料为八段，每臂重复三次，共 48 次，调用均以 end_turn 结束。金标在调用前锁定：列出的至少两字的词若同时出现在当前段和此前各段，该段为 B。作者可见的 B，旧臂取输出中的第一个层标记，新臂取卡片未撤回且代码路由为 B。预注册规则只有在新臂假 B 低于旧臂、新臂真 B 大于 0、且新臂撤回比例不超过 0.75 时，才允许说新闸门优于自报。结果：旧臂与新臂的假 B 都是 0/12，Wilson 95% 区间 [0.000, 0.243]；真 B 都是 0/12，同一区间；新臂撤回 10/24（0.417，区间 [0.245, 0.612]）。按预注册规则，不支持新闸门优于旧的自报。这里的 B 把两件不同的事记成了一个数：提示词里的 B 是结构性、指位置；金标的 B 是列出的词在当前段和前文都出现。新臂还多了一段事实三行的指令，位置是未标注，账本每轮清空。因此这 48 次不能裁决代码停机是否有效，也不能代替尚未做的跨轮引用率对照。旧臂 24 次里没有一次自报 B，13 次标记为 C，11 次为沉默。新臂写出 7 条非空「再出现」，解析出的证据词有 0 条同时是当前段和前文的子串；其中 6 条的文字里含有金标词，但模型写的是整句而不是「词 @ 原句」，代码不把该行计为再出现。这次不报告跨轮引用率，也不替换表1。它不是“理解作者”的证据。自主设定目标的协议仍然关闭。</w:t>
      </w:r>
    </w:p>
    <w:p w14:paraId="3E3F198E">
      <w:pPr>
        <w:spacing w:before="0" w:after="60" w:line="300" w:lineRule="auto"/>
        <w:ind w:firstLine="420" w:firstLineChars="200"/>
        <w:jc w:val="both"/>
      </w:pPr>
      <w:r>
        <w:rPr>
          <w:rFonts w:ascii="Times New Roman" w:hAnsi="Times New Roman" w:eastAsia="宋体" w:cs="Times New Roman"/>
          <w:b w:val="0"/>
          <w:sz w:val="21"/>
        </w:rPr>
        <w:t>词表结果确定之后，本文另做了一次提示词消融（L3），以考察堆叠说明文字能否提高同一代理任务的自动复现水平。解码设置固定（温度 0.3，不启用额外推理步骤），词表特征实现与体裁代理标签亦保持不变，因此它不是表 1 测量的重复。裸分类指令、“铁律加策略”以及在此基础上再叠加文明与注意力条款三类提示的曲线下面积分别为 0.5989（n = 60）、0.6528（n = 60）和 0.5730（n = 59），从第二类到第三类下降 0.0798（图 2(b)）。消融前写定的停止规则是相邻两步的增益连续两次低于 0.02；实际第一步增益为 +0.0539，停止条件没有触发，第二步的回落只与收益递减的方向一致，不能视为预注册意义上的饱和。同一特征的离线复核为跨语言 0.4921、同语言中文启发式切分 0.4596，仍与表 1 中的 0.489 和 0.523 相近。</w:t>
      </w:r>
    </w:p>
    <w:p w14:paraId="4C6F1731">
      <w:pPr>
        <w:spacing w:before="0" w:after="60" w:line="300" w:lineRule="auto"/>
        <w:ind w:firstLine="420" w:firstLineChars="200"/>
        <w:jc w:val="both"/>
      </w:pPr>
      <w:r>
        <w:rPr>
          <w:rFonts w:ascii="Times New Roman" w:hAnsi="Times New Roman" w:eastAsia="宋体" w:cs="Times New Roman"/>
          <w:b w:val="0"/>
          <w:sz w:val="21"/>
        </w:rPr>
        <w:t>消融结果不能替换已报告的词表数字：两者属于不同的测量，图 2 亦将其分栏呈现。消融所允许的结论仅限于：在这一固定模型与固定特征下，不断加满框架文本并不是提高该代理任务可靠性的办法；结构条件的对照臂没有运行。综合来看，研究一表明“理解作者”在当前条件下不宜作为下一步的操作目标。若要检验系统是否在内部承载与任务相关的状态，就需要可撤除、可干预的结构层检验；在此之前，还需要弄清加厚表面形式是否本身就能抬高能力上限，这正是研究二的问题。</w:t>
      </w:r>
    </w:p>
    <w:p w14:paraId="4636C3CC">
      <w:pPr>
        <w:keepNext/>
        <w:spacing w:before="160" w:after="40" w:line="240" w:lineRule="auto"/>
        <w:ind w:firstLine="0" w:firstLineChars="0"/>
        <w:jc w:val="center"/>
      </w:pPr>
      <w:r>
        <w:drawing>
          <wp:inline distT="0" distB="0" distL="114300" distR="114300">
            <wp:extent cx="4607560" cy="24587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08000" cy="2458988"/>
                    </a:xfrm>
                    <a:prstGeom prst="rect">
                      <a:avLst/>
                    </a:prstGeom>
                  </pic:spPr>
                </pic:pic>
              </a:graphicData>
            </a:graphic>
          </wp:inline>
        </w:drawing>
      </w:r>
    </w:p>
    <w:p w14:paraId="5D3700DC">
      <w:pPr>
        <w:spacing w:before="60" w:after="160" w:line="276" w:lineRule="auto"/>
        <w:ind w:firstLine="0" w:firstLineChars="0"/>
        <w:jc w:val="both"/>
      </w:pPr>
      <w:bookmarkStart w:id="2" w:name="fig2"/>
      <w:r>
        <w:rPr>
          <w:rFonts w:ascii="Times New Roman" w:hAnsi="Times New Roman" w:eastAsia="黑体"/>
          <w:b/>
          <w:sz w:val="18"/>
        </w:rPr>
        <w:t>图 2  伴写代理轴的曲线下面积</w:t>
      </w:r>
      <w:r>
        <w:rPr>
          <w:rFonts w:ascii="Times New Roman" w:hAnsi="Times New Roman" w:eastAsia="宋体"/>
          <w:sz w:val="18"/>
        </w:rPr>
        <w:t>。(a) 已报告的词表结果：同语言 0.489、跨语言 0.523，对话标记密度由跨语言 0.627 降至同语言 0.425，句长变异（同语言）0.572；(b) 后续提示词消融三臂（n 分别为 60、60、59，温度 0.3）。两栏是不同测量，(b) 不替换 (a)；柱以随机水平 0.5 为基线</w:t>
      </w:r>
      <w:bookmarkEnd w:id="2"/>
    </w:p>
    <w:p w14:paraId="1CD8E36B">
      <w:pPr>
        <w:spacing w:before="180" w:after="80" w:line="300" w:lineRule="auto"/>
        <w:ind w:firstLine="0" w:firstLineChars="0"/>
        <w:jc w:val="left"/>
      </w:pPr>
      <w:r>
        <w:rPr>
          <w:rFonts w:ascii="Times New Roman" w:hAnsi="Times New Roman" w:eastAsia="黑体" w:cs="Times New Roman"/>
          <w:b/>
          <w:sz w:val="24"/>
        </w:rPr>
        <w:t>4.2  研究二：表面符号与涌现阈值</w:t>
      </w:r>
    </w:p>
    <w:p w14:paraId="1540991A">
      <w:pPr>
        <w:spacing w:before="0" w:after="60" w:line="300" w:lineRule="auto"/>
        <w:ind w:firstLine="420" w:firstLineChars="200"/>
        <w:jc w:val="both"/>
      </w:pPr>
      <w:r>
        <w:rPr>
          <w:rFonts w:ascii="Times New Roman" w:hAnsi="Times New Roman" w:eastAsia="宋体" w:cs="Times New Roman"/>
          <w:b w:val="0"/>
          <w:sz w:val="21"/>
        </w:rPr>
        <w:t>研究二检验一个可计算的假说：在共享的关系结构上，链式推理开始稳定成功所需的样本阈值主要由该结构决定，表面符号只是可替换的编码。任务为深度为 3 的关系链，其结构如图 3 所示；模型是约 1×</w:t>
      </w:r>
      <m:oMath>
        <m:r>
          <m:rPr/>
          <w:rPr>
            <w:rFonts w:hint="default" w:ascii="Cambria Math" w:hAnsi="Cambria Math" w:eastAsia="宋体"/>
            <w:sz w:val="21"/>
          </w:rPr>
          <m: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6</m:t>
            </m:r>
            <m:ctrlPr>
              <w:rPr>
                <w:rFonts w:ascii="Cambria Math" w:hAnsi="Cambria Math" w:eastAsia="宋体"/>
                <w:sz w:val="21"/>
              </w:rPr>
            </m:ctrlPr>
          </m:sup>
        </m:sSup>
      </m:oMath>
      <w:r>
        <w:rPr>
          <w:rFonts w:ascii="Times New Roman" w:hAnsi="Times New Roman" w:eastAsia="宋体" w:cs="Times New Roman"/>
          <w:b w:val="0"/>
          <w:sz w:val="21"/>
        </w:rPr>
        <w:t xml:space="preserve"> 参数、4 层的 Transformer 编码器。实验比较 8 种表面形式，其中 2 种为语义空符号对照，输入长度统一配平为 46 个 token。表面轴的结果来自两批修正编码后的运行：其一为六种真实表面在 6×6 循环拉丁方配平 token id 位置下的 180 次运行，其二为八种表面共享同一词表、在 8×8 循环拉丁方下的 320 次运行；复杂度轴沿用原主实验（330 次运行）中英语表面的部分。三批运行均无失败记录。另有跨表示迁移与更深链条的运行，用于检查方法，而不用于加强对真实语言模型的外推。</w:t>
      </w:r>
    </w:p>
    <w:p w14:paraId="3F631C00">
      <w:pPr>
        <w:spacing w:before="0" w:after="60" w:line="300" w:lineRule="auto"/>
        <w:ind w:firstLine="420" w:firstLineChars="200"/>
        <w:jc w:val="both"/>
      </w:pPr>
      <w:r>
        <w:rPr>
          <w:rFonts w:ascii="Times New Roman" w:hAnsi="Times New Roman" w:eastAsia="宋体" w:cs="Times New Roman"/>
          <w:b w:val="0"/>
          <w:sz w:val="21"/>
        </w:rPr>
        <w:t>若假说成立，不同真实表面的阈值应当接近，空符号也不应系统性地更难或更易。该假说并不试图区分两种解释：一是成功依赖于源自人类感官经验的统计规律，二是网络的归纳偏置恰好与该任务相匹配。Anderson 关于尺度上出现新规律的讨论</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在此仅作概念背景；本实验的规模远小于产品级语言模型，不能用于证明或否定那一类宏观规律。</w:t>
      </w:r>
    </w:p>
    <w:p w14:paraId="79BB9C1C">
      <w:pPr>
        <w:keepNext/>
        <w:spacing w:before="160" w:after="40" w:line="240" w:lineRule="auto"/>
        <w:ind w:firstLine="0" w:firstLineChars="0"/>
        <w:jc w:val="center"/>
      </w:pPr>
      <w:r>
        <w:drawing>
          <wp:inline distT="0" distB="0" distL="114300" distR="114300">
            <wp:extent cx="4589145" cy="1894205"/>
            <wp:effectExtent l="0" t="0" r="1079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90000" cy="1894976"/>
                    </a:xfrm>
                    <a:prstGeom prst="rect">
                      <a:avLst/>
                    </a:prstGeom>
                  </pic:spPr>
                </pic:pic>
              </a:graphicData>
            </a:graphic>
          </wp:inline>
        </w:drawing>
      </w:r>
    </w:p>
    <w:p w14:paraId="1A56DCD0">
      <w:pPr>
        <w:spacing w:before="60" w:after="160" w:line="276" w:lineRule="auto"/>
        <w:ind w:firstLine="0" w:firstLineChars="0"/>
        <w:jc w:val="both"/>
      </w:pPr>
      <w:bookmarkStart w:id="3" w:name="fig3"/>
      <w:r>
        <w:rPr>
          <w:rFonts w:ascii="Times New Roman" w:hAnsi="Times New Roman" w:eastAsia="黑体"/>
          <w:b/>
          <w:sz w:val="18"/>
        </w:rPr>
        <w:t>图 3  符号实验的任务结构</w:t>
      </w:r>
      <w:r>
        <w:rPr>
          <w:rFonts w:ascii="Times New Roman" w:hAnsi="Times New Roman" w:eastAsia="宋体"/>
          <w:sz w:val="18"/>
        </w:rPr>
        <w:t>。(a) 类型化关系基质；(b) 符号倍增，类型结构不变；(c) 同一事实的表面编码，各臂长度配平为 46 个 token。</w:t>
      </w:r>
      <w:bookmarkEnd w:id="3"/>
    </w:p>
    <w:p w14:paraId="1788B7F5">
      <w:pPr>
        <w:spacing w:before="0" w:after="60" w:line="300" w:lineRule="auto"/>
        <w:ind w:firstLine="420" w:firstLineChars="200"/>
        <w:jc w:val="both"/>
      </w:pPr>
      <w:r>
        <w:rPr>
          <w:rFonts w:ascii="Times New Roman" w:hAnsi="Times New Roman" w:eastAsia="宋体" w:cs="Times New Roman"/>
          <w:b w:val="0"/>
          <w:sz w:val="21"/>
        </w:rPr>
        <w:t>图 4(a) 给出 token id 位置配平之后六种真实表面的学习曲线，表 2 汇总了主要结果。六种真实表面的阈值几何均值为 4588 例，对数尺度上的变异系数为 0.0110，极差为 1054 例，约为均值的 23%。各表面相对总体均值的准确率配对差，其 95% 区间均包含零；15 个表面两两配对在 Bonferroni 与 BH 校正下无一显著，但未校正时中文与英文、英文与代码、Lisp 与代码三对的 bootstrap 区间不含零，表面之间与种子噪声同量级的差异并未被完全排除。判定阈值 τ 在 0.45 至 0.75 之间变化时，对数变异系数保持在 0.0110 至 0.0121 之间。</w:t>
      </w:r>
    </w:p>
    <w:p w14:paraId="2EFACC21">
      <w:pPr>
        <w:spacing w:before="0" w:after="60" w:line="300" w:lineRule="auto"/>
        <w:ind w:firstLine="420" w:firstLineChars="200"/>
        <w:jc w:val="both"/>
      </w:pPr>
      <w:r>
        <w:rPr>
          <w:rFonts w:ascii="Times New Roman" w:hAnsi="Times New Roman" w:eastAsia="宋体" w:cs="Times New Roman"/>
          <w:b w:val="0"/>
          <w:sz w:val="21"/>
        </w:rPr>
        <w:t>空符号对照的检验在共享词表的批次中进行（图 4(b)）。以同种子六种真实表面阈值的均值为参照，两种空符号对照的配对差在 14 个（判据，对照）组合上 p 均大于 0.10，最小为 0.128；在 τ = 0.60 时，relperm 的配对差为 +86 例（p = 0.877），entperm 为 −204 例（p = 0.500）。与每种真实表面逐对比较的 84 个检验，在 Bonferroni 与 BH 校正下均无显著结果。需要指出，这两种空符号都是在英语表面上置换得到的，与英语共享词法池（第 2.2 节）；在每种表面各配自身置换的正交复核中，语义效应同样未被检出。在保持有效关系复杂度不变的前提下扩大符号表，阈值的对数–对数斜率约为 +0.020（r = +0.145），阈值依然平坦（图 5）。图 4 与图 5 均由上述原始运行记录按原分析口径重绘。</w:t>
      </w:r>
    </w:p>
    <w:p w14:paraId="7E3F25C9">
      <w:pPr>
        <w:spacing w:before="0" w:after="60" w:line="300" w:lineRule="auto"/>
        <w:ind w:firstLine="420" w:firstLineChars="200"/>
        <w:jc w:val="both"/>
      </w:pPr>
      <w:r>
        <w:rPr>
          <w:rFonts w:ascii="Times New Roman" w:hAnsi="Times New Roman" w:eastAsia="宋体" w:cs="Times New Roman"/>
          <w:b w:val="0"/>
          <w:sz w:val="21"/>
        </w:rPr>
        <w:t>上述数字取代了原稿报告的表面轴结果，原因是原稿的编码存在退化。原实现按 token 首次出现的顺序分配 id，而每条事实恰为 5 个 token、查询模板固定，结果中文、数学记号与人造词表三种表面收到逐 token 相同的输入，英语与两种空符号对照亦然，训练权重逐位相同，36 个种子下六种表面只产生 4 个独立数字。原稿据此报告的几何均值 4374、对数变异系数 0.009、阈值带 [3972, 4960]，以及空符号对照在 30 个格点上与英语判定一致，部分来自重复计数，部分是输入相同的必然结果，本文不再将其作为结果。改按表面分块分配 id 的中间修复又使阈值与 id 块位置单调同序（r = +0.937），反映的是嵌入初始化的顺序而非符号身份；只有以拉丁方配平 id 位置，表面效应与位置效应才可分离。复杂度轴只使用英语表面，不受这一退化影响，其数值沿用原分析。</w:t>
      </w:r>
    </w:p>
    <w:p w14:paraId="070708AB">
      <w:pPr>
        <w:keepNext/>
        <w:spacing w:before="120" w:after="60" w:line="276" w:lineRule="auto"/>
        <w:ind w:firstLine="0" w:firstLineChars="0"/>
        <w:jc w:val="center"/>
      </w:pPr>
      <w:bookmarkStart w:id="4" w:name="tbl2"/>
      <w:r>
        <w:rPr>
          <w:rFonts w:ascii="Times New Roman" w:hAnsi="Times New Roman" w:eastAsia="宋体" w:cs="Times New Roman"/>
          <w:b/>
          <w:sz w:val="18"/>
        </w:rPr>
        <w:t>表 2  合成关系任务上的阈值</w:t>
      </w:r>
      <w:bookmarkEnd w:id="4"/>
    </w:p>
    <w:tbl>
      <w:tblPr>
        <w:tblStyle w:val="32"/>
        <w:tblW w:w="7937"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968"/>
        <w:gridCol w:w="3969"/>
      </w:tblGrid>
      <w:tr w14:paraId="228088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969" w:type="dxa"/>
            <w:tcBorders>
              <w:top w:val="nil"/>
              <w:left w:val="nil"/>
              <w:bottom w:val="single" w:color="000000" w:sz="6" w:space="0"/>
              <w:right w:val="nil"/>
            </w:tcBorders>
          </w:tcPr>
          <w:p w14:paraId="5B595B47">
            <w:pPr>
              <w:keepNext/>
              <w:spacing w:before="40" w:after="40" w:line="240" w:lineRule="auto"/>
              <w:ind w:firstLine="0" w:firstLineChars="0"/>
              <w:jc w:val="left"/>
            </w:pPr>
            <w:r>
              <w:rPr>
                <w:rFonts w:ascii="Times New Roman" w:hAnsi="Times New Roman" w:eastAsia="宋体" w:cs="Times New Roman"/>
                <w:b/>
                <w:sz w:val="18"/>
              </w:rPr>
              <w:t>量</w:t>
            </w:r>
          </w:p>
        </w:tc>
        <w:tc>
          <w:tcPr>
            <w:tcW w:w="3969" w:type="dxa"/>
            <w:tcBorders>
              <w:top w:val="nil"/>
              <w:left w:val="nil"/>
              <w:bottom w:val="single" w:color="000000" w:sz="6" w:space="0"/>
              <w:right w:val="nil"/>
            </w:tcBorders>
          </w:tcPr>
          <w:p w14:paraId="74627D46">
            <w:pPr>
              <w:keepNext/>
              <w:spacing w:before="40" w:after="40" w:line="240" w:lineRule="auto"/>
              <w:ind w:firstLine="0" w:firstLineChars="0"/>
              <w:jc w:val="center"/>
            </w:pPr>
            <w:r>
              <w:rPr>
                <w:rFonts w:ascii="Times New Roman" w:hAnsi="Times New Roman" w:eastAsia="宋体" w:cs="Times New Roman"/>
                <w:b/>
                <w:sz w:val="18"/>
              </w:rPr>
              <w:t>结果</w:t>
            </w:r>
          </w:p>
        </w:tc>
      </w:tr>
      <w:tr w14:paraId="4A8D3C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42A3C291">
            <w:pPr>
              <w:keepNext/>
              <w:spacing w:before="40" w:after="40" w:line="240" w:lineRule="auto"/>
              <w:ind w:firstLine="0" w:firstLineChars="0"/>
              <w:jc w:val="left"/>
            </w:pPr>
            <w:r>
              <w:rPr>
                <w:rFonts w:ascii="Times New Roman" w:hAnsi="Times New Roman" w:eastAsia="宋体" w:cs="Times New Roman"/>
                <w:b w:val="0"/>
                <w:sz w:val="18"/>
              </w:rPr>
              <w:t>真实表面阈值的几何均值</w:t>
            </w:r>
          </w:p>
        </w:tc>
        <w:tc>
          <w:tcPr>
            <w:tcW w:w="3969" w:type="dxa"/>
          </w:tcPr>
          <w:p w14:paraId="3A292F95">
            <w:pPr>
              <w:keepNext/>
              <w:spacing w:before="40" w:after="40" w:line="240" w:lineRule="auto"/>
              <w:ind w:firstLine="0" w:firstLineChars="0"/>
              <w:jc w:val="center"/>
            </w:pPr>
            <w:r>
              <w:rPr>
                <w:rFonts w:ascii="Times New Roman" w:hAnsi="Times New Roman" w:eastAsia="宋体" w:cs="Times New Roman"/>
                <w:b w:val="0"/>
                <w:sz w:val="18"/>
              </w:rPr>
              <w:t>4588 例</w:t>
            </w:r>
          </w:p>
        </w:tc>
      </w:tr>
      <w:tr w14:paraId="5B25A2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DBFD32E">
            <w:pPr>
              <w:keepNext/>
              <w:spacing w:before="40" w:after="40" w:line="240" w:lineRule="auto"/>
              <w:ind w:firstLine="0" w:firstLineChars="0"/>
              <w:jc w:val="left"/>
            </w:pPr>
            <w:r>
              <w:rPr>
                <w:rFonts w:ascii="Times New Roman" w:hAnsi="Times New Roman" w:eastAsia="宋体" w:cs="Times New Roman"/>
                <w:b w:val="0"/>
                <w:sz w:val="18"/>
              </w:rPr>
              <w:t>对数变异系数</w:t>
            </w:r>
          </w:p>
        </w:tc>
        <w:tc>
          <w:tcPr>
            <w:tcW w:w="3969" w:type="dxa"/>
          </w:tcPr>
          <w:p w14:paraId="130C01DD">
            <w:pPr>
              <w:keepNext/>
              <w:spacing w:before="40" w:after="40" w:line="240" w:lineRule="auto"/>
              <w:ind w:firstLine="0" w:firstLineChars="0"/>
              <w:jc w:val="center"/>
            </w:pPr>
            <w:r>
              <w:rPr>
                <w:rFonts w:ascii="Times New Roman" w:hAnsi="Times New Roman" w:eastAsia="宋体" w:cs="Times New Roman"/>
                <w:b w:val="0"/>
                <w:sz w:val="18"/>
              </w:rPr>
              <w:t>0.0110</w:t>
            </w:r>
          </w:p>
        </w:tc>
      </w:tr>
      <w:tr w14:paraId="0A5FE4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7263B42C">
            <w:pPr>
              <w:keepNext/>
              <w:spacing w:before="40" w:after="40" w:line="240" w:lineRule="auto"/>
              <w:ind w:firstLine="0" w:firstLineChars="0"/>
              <w:jc w:val="left"/>
            </w:pPr>
            <w:r>
              <w:rPr>
                <w:rFonts w:ascii="Times New Roman" w:hAnsi="Times New Roman" w:eastAsia="宋体" w:cs="Times New Roman"/>
                <w:b w:val="0"/>
                <w:sz w:val="18"/>
              </w:rPr>
              <w:t>极差 / 均值</w:t>
            </w:r>
          </w:p>
        </w:tc>
        <w:tc>
          <w:tcPr>
            <w:tcW w:w="3969" w:type="dxa"/>
          </w:tcPr>
          <w:p w14:paraId="44EBB0F8">
            <w:pPr>
              <w:keepNext/>
              <w:spacing w:before="40" w:after="40" w:line="240" w:lineRule="auto"/>
              <w:ind w:firstLine="0" w:firstLineChars="0"/>
              <w:jc w:val="center"/>
            </w:pPr>
            <w:r>
              <w:rPr>
                <w:rFonts w:ascii="Times New Roman" w:hAnsi="Times New Roman" w:eastAsia="宋体" w:cs="Times New Roman"/>
                <w:b w:val="0"/>
                <w:sz w:val="18"/>
              </w:rPr>
              <w:t>1054 例，约 23%</w:t>
            </w:r>
          </w:p>
        </w:tc>
      </w:tr>
      <w:tr w14:paraId="621250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50FF8643">
            <w:pPr>
              <w:keepNext/>
              <w:spacing w:before="40" w:after="40" w:line="240" w:lineRule="auto"/>
              <w:ind w:firstLine="0" w:firstLineChars="0"/>
              <w:jc w:val="left"/>
            </w:pPr>
            <w:r>
              <w:rPr>
                <w:rFonts w:ascii="Times New Roman" w:hAnsi="Times New Roman" w:eastAsia="宋体" w:cs="Times New Roman"/>
                <w:b w:val="0"/>
                <w:sz w:val="18"/>
              </w:rPr>
              <w:t>各表面对总体均值的准确率配对差</w:t>
            </w:r>
          </w:p>
        </w:tc>
        <w:tc>
          <w:tcPr>
            <w:tcW w:w="3969" w:type="dxa"/>
          </w:tcPr>
          <w:p w14:paraId="333FC2DE">
            <w:pPr>
              <w:keepNext/>
              <w:spacing w:before="40" w:after="40" w:line="240" w:lineRule="auto"/>
              <w:ind w:firstLine="0" w:firstLineChars="0"/>
              <w:jc w:val="center"/>
            </w:pPr>
            <w:r>
              <w:rPr>
                <w:rFonts w:ascii="Times New Roman" w:hAnsi="Times New Roman" w:eastAsia="宋体" w:cs="Times New Roman"/>
                <w:b w:val="0"/>
                <w:sz w:val="18"/>
              </w:rPr>
              <w:t>6/6 区间含零</w:t>
            </w:r>
          </w:p>
        </w:tc>
      </w:tr>
      <w:tr w14:paraId="1A6BA2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FDFBDD6">
            <w:pPr>
              <w:keepNext/>
              <w:spacing w:before="40" w:after="40" w:line="240" w:lineRule="auto"/>
              <w:ind w:firstLine="0" w:firstLineChars="0"/>
              <w:jc w:val="left"/>
            </w:pPr>
            <w:r>
              <w:rPr>
                <w:rFonts w:ascii="Times New Roman" w:hAnsi="Times New Roman" w:eastAsia="宋体" w:cs="Times New Roman"/>
                <w:b w:val="0"/>
                <w:sz w:val="18"/>
              </w:rPr>
              <w:t>表面两两配对（15 对）</w:t>
            </w:r>
          </w:p>
        </w:tc>
        <w:tc>
          <w:tcPr>
            <w:tcW w:w="3969" w:type="dxa"/>
          </w:tcPr>
          <w:p w14:paraId="66681155">
            <w:pPr>
              <w:keepNext/>
              <w:spacing w:before="40" w:after="40" w:line="240" w:lineRule="auto"/>
              <w:ind w:firstLine="0" w:firstLineChars="0"/>
              <w:jc w:val="center"/>
            </w:pPr>
            <w:r>
              <w:rPr>
                <w:rFonts w:ascii="Times New Roman" w:hAnsi="Times New Roman" w:eastAsia="宋体" w:cs="Times New Roman"/>
                <w:b w:val="0"/>
                <w:sz w:val="18"/>
              </w:rPr>
              <w:t>校正后 0 对显著；未校正 3 对区间不含零</w:t>
            </w:r>
          </w:p>
        </w:tc>
      </w:tr>
      <w:tr w14:paraId="384CB1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89BD48D">
            <w:pPr>
              <w:keepNext/>
              <w:spacing w:before="40" w:after="40" w:line="240" w:lineRule="auto"/>
              <w:ind w:firstLine="0" w:firstLineChars="0"/>
              <w:jc w:val="left"/>
            </w:pPr>
            <w:r>
              <w:rPr>
                <w:rFonts w:ascii="Times New Roman" w:hAnsi="Times New Roman" w:eastAsia="宋体" w:cs="Times New Roman"/>
                <w:b w:val="0"/>
                <w:sz w:val="18"/>
              </w:rPr>
              <w:t>空符号对照，均值配对</w:t>
            </w:r>
          </w:p>
        </w:tc>
        <w:tc>
          <w:tcPr>
            <w:tcW w:w="3969" w:type="dxa"/>
          </w:tcPr>
          <w:p w14:paraId="244AF540">
            <w:pPr>
              <w:keepNext/>
              <w:spacing w:before="40" w:after="40" w:line="240" w:lineRule="auto"/>
              <w:ind w:firstLine="0" w:firstLineChars="0"/>
              <w:jc w:val="center"/>
            </w:pPr>
            <w:r>
              <w:rPr>
                <w:rFonts w:ascii="Times New Roman" w:hAnsi="Times New Roman" w:eastAsia="宋体" w:cs="Times New Roman"/>
                <w:b w:val="0"/>
                <w:sz w:val="18"/>
              </w:rPr>
              <w:t>14 个组合 p &gt; 0.10（最小 0.128）</w:t>
            </w:r>
          </w:p>
        </w:tc>
      </w:tr>
      <w:tr w14:paraId="37C02A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25D2A1D7">
            <w:pPr>
              <w:keepNext/>
              <w:spacing w:before="40" w:after="40" w:line="240" w:lineRule="auto"/>
              <w:ind w:firstLine="0" w:firstLineChars="0"/>
              <w:jc w:val="left"/>
            </w:pPr>
            <w:r>
              <w:rPr>
                <w:rFonts w:ascii="Times New Roman" w:hAnsi="Times New Roman" w:eastAsia="宋体" w:cs="Times New Roman"/>
                <w:b w:val="0"/>
                <w:sz w:val="18"/>
              </w:rPr>
              <w:t>空符号对照，逐对配对</w:t>
            </w:r>
          </w:p>
        </w:tc>
        <w:tc>
          <w:tcPr>
            <w:tcW w:w="3969" w:type="dxa"/>
          </w:tcPr>
          <w:p w14:paraId="3CA69E08">
            <w:pPr>
              <w:keepNext/>
              <w:spacing w:before="40" w:after="40" w:line="240" w:lineRule="auto"/>
              <w:ind w:firstLine="0" w:firstLineChars="0"/>
              <w:jc w:val="center"/>
            </w:pPr>
            <w:r>
              <w:rPr>
                <w:rFonts w:ascii="Times New Roman" w:hAnsi="Times New Roman" w:eastAsia="宋体" w:cs="Times New Roman"/>
                <w:b w:val="0"/>
                <w:sz w:val="18"/>
              </w:rPr>
              <w:t>84 个检验校正后 0 个显著</w:t>
            </w:r>
          </w:p>
        </w:tc>
      </w:tr>
      <w:tr w14:paraId="2AF116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76C8C261">
            <w:pPr>
              <w:keepNext/>
              <w:spacing w:before="40" w:after="40" w:line="240" w:lineRule="auto"/>
              <w:ind w:firstLine="0" w:firstLineChars="0"/>
              <w:jc w:val="left"/>
            </w:pPr>
            <w:r>
              <w:rPr>
                <w:rFonts w:ascii="Times New Roman" w:hAnsi="Times New Roman" w:eastAsia="宋体" w:cs="Times New Roman"/>
                <w:b w:val="0"/>
                <w:sz w:val="18"/>
              </w:rPr>
              <w:t>符号数增大、有效复杂度固定</w:t>
            </w:r>
          </w:p>
        </w:tc>
        <w:tc>
          <w:tcPr>
            <w:tcW w:w="3969" w:type="dxa"/>
          </w:tcPr>
          <w:p w14:paraId="63BA4138">
            <w:pPr>
              <w:keepNext/>
              <w:spacing w:before="40" w:after="40" w:line="240" w:lineRule="auto"/>
              <w:ind w:firstLine="0" w:firstLineChars="0"/>
              <w:jc w:val="center"/>
            </w:pPr>
            <w:r>
              <w:rPr>
                <w:rFonts w:ascii="Times New Roman" w:hAnsi="Times New Roman" w:eastAsia="宋体" w:cs="Times New Roman"/>
                <w:b w:val="0"/>
                <w:sz w:val="18"/>
              </w:rPr>
              <w:t>斜率 +0.020，r = +0.145</w:t>
            </w:r>
          </w:p>
        </w:tc>
      </w:tr>
      <w:tr w14:paraId="610AF8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E1101E5">
            <w:pPr>
              <w:spacing w:before="40" w:after="40" w:line="240" w:lineRule="auto"/>
              <w:ind w:firstLine="0" w:firstLineChars="0"/>
              <w:jc w:val="left"/>
            </w:pPr>
            <w:r>
              <w:rPr>
                <w:rFonts w:ascii="Times New Roman" w:hAnsi="Times New Roman" w:eastAsia="宋体" w:cs="Times New Roman"/>
                <w:b w:val="0"/>
                <w:sz w:val="18"/>
              </w:rPr>
              <w:t>判定阈值敏感性</w:t>
            </w:r>
          </w:p>
        </w:tc>
        <w:tc>
          <w:tcPr>
            <w:tcW w:w="3969" w:type="dxa"/>
          </w:tcPr>
          <w:p w14:paraId="64E25E40">
            <w:pPr>
              <w:spacing w:before="40" w:after="40" w:line="240" w:lineRule="auto"/>
              <w:ind w:firstLine="0" w:firstLineChars="0"/>
              <w:jc w:val="center"/>
            </w:pPr>
            <w:r>
              <w:rPr>
                <w:rFonts w:ascii="Times New Roman" w:hAnsi="Times New Roman" w:eastAsia="宋体" w:cs="Times New Roman"/>
                <w:b w:val="0"/>
                <w:sz w:val="18"/>
              </w:rPr>
              <w:t>τ = 0.45–0.75 时对数变异系数 0.0110–0.0121</w:t>
            </w:r>
          </w:p>
        </w:tc>
      </w:tr>
    </w:tbl>
    <w:p w14:paraId="4AEF9E73">
      <w:pPr>
        <w:spacing w:before="60" w:after="160" w:line="276" w:lineRule="auto"/>
        <w:ind w:firstLine="0" w:firstLineChars="0"/>
        <w:jc w:val="left"/>
      </w:pPr>
      <w:r>
        <w:rPr>
          <w:rFonts w:ascii="Times New Roman" w:hAnsi="Times New Roman" w:eastAsia="宋体"/>
          <w:sz w:val="18"/>
        </w:rPr>
        <w:t>注：真实表面各行来自 6×6 拉丁方配平的 180 次运行，空符号对照各行来自共享词表、8×8 拉丁方的 320 次运行（校正方法为 Bonferroni 与 BH）。阈值为越过判据 τ = 0.60 的种子的阈值均值；修正编码批次中五种表面为 5/6 个种子越过判据，Lisp 为 6/6。复杂度轴沿用原主实验中英语表面的运行。原稿基于退化编码的数值见第 4.2 节说明，不作为结果。</w:t>
      </w:r>
    </w:p>
    <w:p w14:paraId="23BC23A2">
      <w:pPr>
        <w:keepNext/>
        <w:spacing w:before="160" w:after="40" w:line="240" w:lineRule="auto"/>
        <w:ind w:firstLine="0" w:firstLineChars="0"/>
        <w:jc w:val="center"/>
      </w:pPr>
      <w:r>
        <w:drawing>
          <wp:inline distT="0" distB="0" distL="114300" distR="114300">
            <wp:extent cx="4607560" cy="232664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608000" cy="2326910"/>
                    </a:xfrm>
                    <a:prstGeom prst="rect">
                      <a:avLst/>
                    </a:prstGeom>
                  </pic:spPr>
                </pic:pic>
              </a:graphicData>
            </a:graphic>
          </wp:inline>
        </w:drawing>
      </w:r>
    </w:p>
    <w:p w14:paraId="7A038EF8">
      <w:pPr>
        <w:spacing w:before="60" w:after="160" w:line="276" w:lineRule="auto"/>
        <w:ind w:firstLine="0" w:firstLineChars="0"/>
        <w:jc w:val="both"/>
      </w:pPr>
      <w:bookmarkStart w:id="5" w:name="fig4"/>
      <w:r>
        <w:rPr>
          <w:rFonts w:ascii="Times New Roman" w:hAnsi="Times New Roman" w:eastAsia="黑体"/>
          <w:b/>
          <w:sz w:val="18"/>
        </w:rPr>
        <w:t>图 4  留出深度-3 准确率随训练集规模的变化</w:t>
      </w:r>
      <w:r>
        <w:rPr>
          <w:rFonts w:ascii="Times New Roman" w:hAnsi="Times New Roman" w:eastAsia="宋体"/>
          <w:sz w:val="18"/>
        </w:rPr>
        <w:t>。(a) 六种真实表面，token id 位置按 6×6 循环拉丁方配平（180 次运行，6 个种子）；(b) 共享词表与 8×8 循环拉丁方下的两种语义空符号对照（彩色）与同批六种真实表面（灰线为各表面均值，灰带为其范围；320 次运行，8 个种子）。阴影为 ±1 标准差，虚线为判据 τ = 0.60，点线为随机水平 1/18。</w:t>
      </w:r>
      <w:bookmarkEnd w:id="5"/>
    </w:p>
    <w:p w14:paraId="35909E05">
      <w:pPr>
        <w:keepNext/>
        <w:spacing w:before="160" w:after="40" w:line="240" w:lineRule="auto"/>
        <w:ind w:firstLine="0" w:firstLineChars="0"/>
        <w:jc w:val="center"/>
      </w:pPr>
      <w:r>
        <w:drawing>
          <wp:inline distT="0" distB="0" distL="114300" distR="114300">
            <wp:extent cx="4607560" cy="246507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608000" cy="2465483"/>
                    </a:xfrm>
                    <a:prstGeom prst="rect">
                      <a:avLst/>
                    </a:prstGeom>
                  </pic:spPr>
                </pic:pic>
              </a:graphicData>
            </a:graphic>
          </wp:inline>
        </w:drawing>
      </w:r>
    </w:p>
    <w:p w14:paraId="2F73845B">
      <w:pPr>
        <w:spacing w:before="60" w:after="160" w:line="276" w:lineRule="auto"/>
        <w:ind w:firstLine="0" w:firstLineChars="0"/>
        <w:jc w:val="both"/>
      </w:pPr>
      <w:bookmarkStart w:id="6" w:name="fig5"/>
      <w:r>
        <w:rPr>
          <w:rFonts w:ascii="Times New Roman" w:hAnsi="Times New Roman" w:eastAsia="黑体"/>
          <w:b/>
          <w:sz w:val="18"/>
        </w:rPr>
        <w:t>图 5  合成关系任务上的涌现阈值</w:t>
      </w:r>
      <w:r>
        <w:rPr>
          <w:rFonts w:ascii="Times New Roman" w:hAnsi="Times New Roman" w:eastAsia="宋体"/>
          <w:sz w:val="18"/>
        </w:rPr>
        <w:t>。(a) 各表面阈值点估计与 95% bootstrap 区间（4000 次重采样，点为越过判据种子的阈值均值）：上组为 id 位置配平后的六种真实表面，阴影为阈值带 [3840, 4894]，虚线为几何均值 4588；下组为共享词表批次中的六种真实表面与两种空符号对照，阴影为同批真实表面带 [4429, 5083]。(b) 英文表面上具体关系符号数由 6 增至 24、有效复杂度固定时的阈值，对数–对数斜率 +0.020（r = +0.145），蓝虚线为 (a) 上组几何均值 4588；只作该合成任务上的旁证。</w:t>
      </w:r>
      <w:bookmarkEnd w:id="6"/>
    </w:p>
    <w:p w14:paraId="0C527416">
      <w:pPr>
        <w:spacing w:before="0" w:after="60" w:line="300" w:lineRule="auto"/>
        <w:ind w:firstLine="420" w:firstLineChars="200"/>
        <w:jc w:val="both"/>
      </w:pPr>
      <w:r>
        <w:rPr>
          <w:rFonts w:ascii="Times New Roman" w:hAnsi="Times New Roman" w:eastAsia="宋体" w:cs="Times New Roman"/>
          <w:b w:val="0"/>
          <w:sz w:val="21"/>
        </w:rPr>
        <w:t>跨表示迁移的原分析显示，迁移代价随符号表被破坏的程度而变化，而不随目标结构的名义难度变化，据此否定了“类型结构专门为越过阈值而习得”这一机制。复核表明，这一模式的量级在原设置中被放大：原设置只使用英语一种表面，且存在天花板压缩。移除这一混淆后重测，把全部 6 条关系符号的类型含义打乱，模型在 n = 6500 时准确率仍为 0.9708，代价只占上界的 13.5%，且不随损伤程度增加；仅打乱事实的排列顺序，代价即达上界的 80.8%（第 2.2 节）。因此，较为稳妥的读法是：模型对关系符号只作较弱的绑定，而对事实顺序有强依赖；原稿保留的“模型学到符号层面的局部关联”一读与复核结果不符。Grokking 类研究显示，小规模算法数据上可能出现迟来的泛化</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，与本文的阈值测量相关，但本文没有检验同一机制。</w:t>
      </w:r>
    </w:p>
    <w:p w14:paraId="04F311F7">
      <w:pPr>
        <w:spacing w:before="0" w:after="60" w:line="300" w:lineRule="auto"/>
        <w:ind w:firstLine="420" w:firstLineChars="200"/>
        <w:jc w:val="both"/>
      </w:pPr>
      <w:r>
        <w:rPr>
          <w:rFonts w:ascii="Times New Roman" w:hAnsi="Times New Roman" w:eastAsia="宋体" w:cs="Times New Roman"/>
          <w:b w:val="0"/>
          <w:sz w:val="21"/>
        </w:rPr>
        <w:t>就全文而言，研究二的用途仅限于一点：在该合成任务上，更换表面符号几乎不移动阈值，因此“换一套说法”不应被默认为提高能力上限的办法。研究二没有在伴写的代理轴上施加干预，不能作为对研究一提示词消融的否证；它为转向结构层检验提供的是一种动机上的直觉，而不是验证链中的一环。既然表层特征与表面形式都难以承担关于内部状态的主张，剩下的问题便是能否直接检验内部状态是否承载目标，研究三即为此而设。</w:t>
      </w:r>
    </w:p>
    <w:p w14:paraId="0BE5A603">
      <w:pPr>
        <w:spacing w:before="180" w:after="80" w:line="300" w:lineRule="auto"/>
        <w:ind w:firstLine="0" w:firstLineChars="0"/>
        <w:jc w:val="left"/>
      </w:pPr>
      <w:r>
        <w:rPr>
          <w:rFonts w:ascii="Times New Roman" w:hAnsi="Times New Roman" w:eastAsia="黑体" w:cs="Times New Roman"/>
          <w:b/>
          <w:sz w:val="24"/>
        </w:rPr>
        <w:t>4.3  研究三：玩具切换任务上的目标维持与因果使用</w:t>
      </w:r>
    </w:p>
    <w:p w14:paraId="6D514567">
      <w:pPr>
        <w:spacing w:before="0" w:after="60" w:line="300" w:lineRule="auto"/>
        <w:ind w:firstLine="420" w:firstLineChars="200"/>
        <w:jc w:val="both"/>
      </w:pPr>
      <w:r>
        <w:rPr>
          <w:rFonts w:ascii="Times New Roman" w:hAnsi="Times New Roman" w:eastAsia="宋体" w:cs="Times New Roman"/>
          <w:b w:val="0"/>
          <w:sz w:val="21"/>
        </w:rPr>
        <w:t>研究三在第 3 节的协议下进行。在玩具切换任务中，目标只在切换时刻由环境线索提示一次，此后行为必须依靠内部状态维持；切换间隔在 30 至 70 步之间均匀抽取，回合长度为 200，环境不提供时钟通道（图 6）。训练信号只有世界回报，不含逐步目标标签，适应度中也没有状态漂移的惩罚项。主比较在门控循环单元</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与无门循环网络之间进行，两者隐层宽度均为 32，学习规则均为优势行动者–评论者方法</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的同步变体，而非该文主要提出的异步版本。无记忆策略作为阴性基线，指定寄存器作为阳性工程对照，只规定写入统计量的新颖度门作为中间档。</w:t>
      </w:r>
    </w:p>
    <w:p w14:paraId="79A217B6">
      <w:pPr>
        <w:keepNext/>
        <w:spacing w:before="160" w:after="40" w:line="240" w:lineRule="auto"/>
        <w:ind w:firstLine="0" w:firstLineChars="0"/>
        <w:jc w:val="center"/>
      </w:pPr>
      <w:r>
        <w:drawing>
          <wp:inline distT="0" distB="0" distL="114300" distR="114300">
            <wp:extent cx="4607560" cy="1871345"/>
            <wp:effectExtent l="0" t="0" r="635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608000" cy="1871784"/>
                    </a:xfrm>
                    <a:prstGeom prst="rect">
                      <a:avLst/>
                    </a:prstGeom>
                  </pic:spPr>
                </pic:pic>
              </a:graphicData>
            </a:graphic>
          </wp:inline>
        </w:drawing>
      </w:r>
    </w:p>
    <w:p w14:paraId="23C91434">
      <w:pPr>
        <w:spacing w:before="60" w:after="160" w:line="276" w:lineRule="auto"/>
        <w:ind w:firstLine="0" w:firstLineChars="0"/>
        <w:jc w:val="both"/>
      </w:pPr>
      <w:bookmarkStart w:id="7" w:name="fig6"/>
      <w:r>
        <w:rPr>
          <w:rFonts w:ascii="Times New Roman" w:hAnsi="Times New Roman" w:eastAsia="黑体"/>
          <w:b/>
          <w:sz w:val="18"/>
        </w:rPr>
        <w:t>图 6  切换线索玩具任务示意（一局随机样例）</w:t>
      </w:r>
      <w:r>
        <w:rPr>
          <w:rFonts w:ascii="Times New Roman" w:hAnsi="Times New Roman" w:eastAsia="宋体"/>
          <w:sz w:val="18"/>
        </w:rPr>
        <w:t>。目标只在切换时刻提示一次，切换间隔 K ~ U[30, 70]，回合长度 200，无时钟通道。</w:t>
      </w:r>
      <w:bookmarkEnd w:id="7"/>
    </w:p>
    <w:p w14:paraId="327F24A7">
      <w:pPr>
        <w:spacing w:before="0" w:after="60" w:line="300" w:lineRule="auto"/>
        <w:ind w:firstLine="420" w:firstLineChars="200"/>
        <w:jc w:val="both"/>
      </w:pPr>
      <w:r>
        <w:rPr>
          <w:rFonts w:ascii="Times New Roman" w:hAnsi="Times New Roman" w:eastAsia="宋体" w:cs="Times New Roman"/>
          <w:b w:val="0"/>
          <w:sz w:val="21"/>
        </w:rPr>
        <w:t>实验过程中发现了一处影响结论的实现缺陷：未经标准化的回报尺度使价值函数误差主导了梯度，训练回报因此始终停留在机会水平附近（图 7(a)）。在每个回合内对回报进行标准化之后，训练恢复正常（图 7(b)），此后的全部主结果都使用这一实现。早先曾依据缺陷实现得出“教师信号必要”的结论，追溯原因后予以撤销：全信息的逐步监督可以提高样本效率，但在本验收下不是必要条件。这一更正属于 L1 层的披露偏离，只撤销那一项必要性主张，不改变任何阳性数字。</w:t>
      </w:r>
    </w:p>
    <w:p w14:paraId="7E05A3BA">
      <w:pPr>
        <w:keepNext/>
        <w:spacing w:before="160" w:after="40" w:line="240" w:lineRule="auto"/>
        <w:ind w:firstLine="0" w:firstLineChars="0"/>
        <w:jc w:val="center"/>
      </w:pPr>
      <w:r>
        <w:drawing>
          <wp:inline distT="0" distB="0" distL="114300" distR="114300">
            <wp:extent cx="4607560" cy="189293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08000" cy="1893350"/>
                    </a:xfrm>
                    <a:prstGeom prst="rect">
                      <a:avLst/>
                    </a:prstGeom>
                  </pic:spPr>
                </pic:pic>
              </a:graphicData>
            </a:graphic>
          </wp:inline>
        </w:drawing>
      </w:r>
    </w:p>
    <w:p w14:paraId="0F969AFD">
      <w:pPr>
        <w:spacing w:before="60" w:after="160" w:line="276" w:lineRule="auto"/>
        <w:ind w:firstLine="0" w:firstLineChars="0"/>
        <w:jc w:val="both"/>
      </w:pPr>
      <w:bookmarkStart w:id="8" w:name="fig7"/>
      <w:r>
        <w:rPr>
          <w:rFonts w:ascii="Times New Roman" w:hAnsi="Times New Roman" w:eastAsia="黑体"/>
          <w:b/>
          <w:sz w:val="18"/>
        </w:rPr>
        <w:t>图 7  主任务上行动者–评论者的训练回报：回报尺度缺陷修复前后</w:t>
      </w:r>
      <w:r>
        <w:rPr>
          <w:rFonts w:ascii="Times New Roman" w:hAnsi="Times New Roman" w:eastAsia="宋体"/>
          <w:sz w:val="18"/>
        </w:rPr>
        <w:t>。(a) 未标准化回报；(b) 每回合回报标准化后。蓝色虚线为回报绝对线 0.70，红色点线为机会水平 0.25。</w:t>
      </w:r>
      <w:bookmarkEnd w:id="8"/>
    </w:p>
    <w:p w14:paraId="558B0BF0">
      <w:pPr>
        <w:spacing w:before="0" w:after="60" w:line="300" w:lineRule="auto"/>
        <w:ind w:firstLine="420" w:firstLineChars="200"/>
        <w:jc w:val="both"/>
      </w:pPr>
      <w:r>
        <w:rPr>
          <w:rFonts w:ascii="Times New Roman" w:hAnsi="Times New Roman" w:eastAsia="宋体" w:cs="Times New Roman"/>
          <w:b w:val="0"/>
          <w:sz w:val="21"/>
        </w:rPr>
        <w:t>在经泄漏探针筛选的 8 个科学种子上，门控网络全部通过验收（8/8），Wilson 95% 区间为 [0.676, 1.000]，无效种子为 0（表 3）。无记忆基线为 0/8，表明任务确实需要跨时间的信息；指定寄存器为 7/8，表明验收标准可以被工程接线满足，实验本身没有失效。只规定新颖度统计量的写入门为 2/8，Wilson 区间 [0.071, 0.591]；该臂沿用原文稿的遗传算法种子 16–23，其中 1 个为无效种子并计入分母。由于该臂未过组门，“系统发现了应当存储的统计量”不能作为结果。更早的可学习写入门在遗传算法下大多为 0/8 到 1/8，失败集中在“何时写入”这一环节。</w:t>
      </w:r>
    </w:p>
    <w:p w14:paraId="521B1620">
      <w:pPr>
        <w:spacing w:before="0" w:after="60" w:line="300" w:lineRule="auto"/>
        <w:ind w:firstLine="420" w:firstLineChars="200"/>
        <w:jc w:val="both"/>
      </w:pPr>
      <w:r>
        <w:rPr>
          <w:rFonts w:ascii="Times New Roman" w:hAnsi="Times New Roman" w:eastAsia="宋体" w:cs="Times New Roman"/>
          <w:b w:val="0"/>
          <w:sz w:val="21"/>
        </w:rPr>
        <w:t>沿用门控网络超参数、未经单独调参的无门循环网络为 0/8，训练回报始终接近机会水平（图 8）。这一对照存在明显的保留：无门网络可能只是不适合门控网络的超参数。为此，本文在调参种子上为无门网络搜索初始化、学习率及相关设置，选定的配置未使用科学种子。该配置在 8 个科学种子上仍为 0/8，区间 [0.000, 0.324]（†）。这一结果移除了“未调参”这一保留，但搜索范围有限，既没有进行架构间的锦标赛，也没有进行无上限的预算竞赛。因此，可以成立的表述是：在这一玩具任务与预算上限内，无门对照未能通过验收。</w:t>
      </w:r>
    </w:p>
    <w:p w14:paraId="40428113">
      <w:pPr>
        <w:keepNext/>
        <w:spacing w:before="160" w:after="40" w:line="240" w:lineRule="auto"/>
        <w:ind w:firstLine="0" w:firstLineChars="0"/>
        <w:jc w:val="center"/>
      </w:pPr>
      <w:r>
        <w:drawing>
          <wp:inline distT="0" distB="0" distL="114300" distR="114300">
            <wp:extent cx="2735580" cy="2240915"/>
            <wp:effectExtent l="0" t="0" r="952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736000" cy="2241416"/>
                    </a:xfrm>
                    <a:prstGeom prst="rect">
                      <a:avLst/>
                    </a:prstGeom>
                  </pic:spPr>
                </pic:pic>
              </a:graphicData>
            </a:graphic>
          </wp:inline>
        </w:drawing>
      </w:r>
    </w:p>
    <w:p w14:paraId="7087EF87">
      <w:pPr>
        <w:spacing w:before="60" w:after="160" w:line="276" w:lineRule="auto"/>
        <w:ind w:firstLine="0" w:firstLineChars="0"/>
        <w:jc w:val="both"/>
      </w:pPr>
      <w:bookmarkStart w:id="9" w:name="fig8"/>
      <w:r>
        <w:rPr>
          <w:rFonts w:ascii="Times New Roman" w:hAnsi="Times New Roman" w:eastAsia="黑体"/>
          <w:b/>
          <w:sz w:val="18"/>
        </w:rPr>
        <w:t>图 8  同一学习规则与预算下门控网络与无门网络的训练回报</w:t>
      </w:r>
      <w:r>
        <w:rPr>
          <w:rFonts w:ascii="Times New Roman" w:hAnsi="Times New Roman" w:eastAsia="宋体"/>
          <w:sz w:val="18"/>
        </w:rPr>
        <w:t>。8 个科学种子；无门网络沿用门控网络的超参数。仅收录 (a) 栏；原图 (b) 栏为步长修正前的进化策略，已被第 4.4 节的修正结果取代，故不收录</w:t>
      </w:r>
      <w:bookmarkEnd w:id="9"/>
    </w:p>
    <w:p w14:paraId="64C3113F">
      <w:pPr>
        <w:spacing w:before="0" w:after="60" w:line="300" w:lineRule="auto"/>
        <w:ind w:firstLine="420" w:firstLineChars="200"/>
        <w:jc w:val="both"/>
      </w:pPr>
      <w:r>
        <w:rPr>
          <w:rFonts w:ascii="Times New Roman" w:hAnsi="Times New Roman" w:eastAsia="宋体" w:cs="Times New Roman"/>
          <w:b w:val="0"/>
          <w:sz w:val="21"/>
        </w:rPr>
        <w:t>表 3 与图 9 汇总了玩具任务上各臂的结果。把它们放回第 3.1 节的序数记账中可以看到，设计者规定越具体的条件并不必然越容易通过：指定寄存器为 7/8，新颖度门为 2/8，而规定较为宽泛的通用门控结构为 8/8。由于各档的优化器与超参数不同，这一模式不能解释为先验程度与通过率之间的因果关系。它所支持的只是：在本任务与本预算下，通用门控结构配合基于梯度的信用分配足以通过全部准则；阳性结论停留在“通用门控结构”这一档，并不延伸到无结构先验的情形。</w:t>
      </w:r>
    </w:p>
    <w:p w14:paraId="56772B91">
      <w:pPr>
        <w:keepNext/>
        <w:spacing w:before="160" w:after="40" w:line="240" w:lineRule="auto"/>
        <w:ind w:firstLine="0" w:firstLineChars="0"/>
        <w:jc w:val="center"/>
      </w:pPr>
      <w:r>
        <w:drawing>
          <wp:inline distT="0" distB="0" distL="114300" distR="114300">
            <wp:extent cx="4607560" cy="2327275"/>
            <wp:effectExtent l="0" t="0" r="635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608000" cy="2327700"/>
                    </a:xfrm>
                    <a:prstGeom prst="rect">
                      <a:avLst/>
                    </a:prstGeom>
                  </pic:spPr>
                </pic:pic>
              </a:graphicData>
            </a:graphic>
          </wp:inline>
        </w:drawing>
      </w:r>
    </w:p>
    <w:p w14:paraId="532F9C15">
      <w:pPr>
        <w:spacing w:before="60" w:after="160" w:line="276" w:lineRule="auto"/>
        <w:ind w:firstLine="0" w:firstLineChars="0"/>
        <w:jc w:val="both"/>
      </w:pPr>
      <w:bookmarkStart w:id="10" w:name="fig9"/>
      <w:r>
        <w:rPr>
          <w:rFonts w:ascii="Times New Roman" w:hAnsi="Times New Roman" w:eastAsia="黑体"/>
          <w:b/>
          <w:sz w:val="18"/>
        </w:rPr>
        <w:t>图 9  目标实验各臂的组通过率与 Wilson 95% 区间</w:t>
      </w:r>
      <w:r>
        <w:rPr>
          <w:rFonts w:ascii="Times New Roman" w:hAnsi="Times New Roman" w:eastAsia="宋体"/>
          <w:sz w:val="18"/>
        </w:rPr>
        <w:t>。分母恒为 8，斜线为 VOID（计入分母），虚线为组门 7/8；† 为原文稿定稿之后的后续实验。新颖度门沿用原文稿遗传算法种子 16–23，其余各臂为科学种子 200、205、210、211、212、216、218、219；加压网格指定寄存器在原文稿（种子 8–15）与后续科学种子复核中均为 8/8。</w:t>
      </w:r>
      <w:bookmarkEnd w:id="10"/>
    </w:p>
    <w:p w14:paraId="2166BCB2">
      <w:pPr>
        <w:keepNext/>
        <w:spacing w:before="120" w:after="60" w:line="276" w:lineRule="auto"/>
        <w:ind w:firstLine="0" w:firstLineChars="0"/>
        <w:jc w:val="center"/>
      </w:pPr>
      <w:bookmarkStart w:id="11" w:name="tbl3"/>
      <w:r>
        <w:rPr>
          <w:rFonts w:ascii="Times New Roman" w:hAnsi="Times New Roman" w:eastAsia="宋体" w:cs="Times New Roman"/>
          <w:b/>
          <w:sz w:val="18"/>
        </w:rPr>
        <w:t>表 3  玩具任务上的预注册组结果（分母均为 8）</w:t>
      </w:r>
      <w:bookmarkEnd w:id="11"/>
    </w:p>
    <w:tbl>
      <w:tblPr>
        <w:tblStyle w:val="32"/>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61"/>
        <w:gridCol w:w="907"/>
        <w:gridCol w:w="1814"/>
        <w:gridCol w:w="3288"/>
      </w:tblGrid>
      <w:tr w14:paraId="629F3F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nil"/>
              <w:left w:val="nil"/>
              <w:bottom w:val="single" w:color="000000" w:sz="6" w:space="0"/>
              <w:right w:val="nil"/>
            </w:tcBorders>
          </w:tcPr>
          <w:p w14:paraId="6F89CD65">
            <w:pPr>
              <w:keepNext/>
              <w:spacing w:before="40" w:after="40" w:line="240" w:lineRule="auto"/>
              <w:ind w:firstLine="0" w:firstLineChars="0"/>
              <w:jc w:val="left"/>
            </w:pPr>
            <w:r>
              <w:rPr>
                <w:rFonts w:ascii="Times New Roman" w:hAnsi="Times New Roman" w:eastAsia="宋体" w:cs="Times New Roman"/>
                <w:b/>
                <w:sz w:val="18"/>
              </w:rPr>
              <w:t>条件</w:t>
            </w:r>
          </w:p>
        </w:tc>
        <w:tc>
          <w:tcPr>
            <w:tcW w:w="907" w:type="dxa"/>
            <w:tcBorders>
              <w:top w:val="nil"/>
              <w:left w:val="nil"/>
              <w:bottom w:val="single" w:color="000000" w:sz="6" w:space="0"/>
              <w:right w:val="nil"/>
            </w:tcBorders>
          </w:tcPr>
          <w:p w14:paraId="70110872">
            <w:pPr>
              <w:keepNext/>
              <w:spacing w:before="40" w:after="40" w:line="240" w:lineRule="auto"/>
              <w:ind w:firstLine="0" w:firstLineChars="0"/>
              <w:jc w:val="center"/>
            </w:pPr>
            <w:r>
              <w:rPr>
                <w:rFonts w:ascii="Times New Roman" w:hAnsi="Times New Roman" w:eastAsia="宋体" w:cs="Times New Roman"/>
                <w:b/>
                <w:sz w:val="18"/>
              </w:rPr>
              <w:t>通过数</w:t>
            </w:r>
          </w:p>
        </w:tc>
        <w:tc>
          <w:tcPr>
            <w:tcW w:w="1814" w:type="dxa"/>
            <w:tcBorders>
              <w:top w:val="nil"/>
              <w:left w:val="nil"/>
              <w:bottom w:val="single" w:color="000000" w:sz="6" w:space="0"/>
              <w:right w:val="nil"/>
            </w:tcBorders>
          </w:tcPr>
          <w:p w14:paraId="71437AD9">
            <w:pPr>
              <w:keepNext/>
              <w:spacing w:before="40" w:after="40" w:line="240" w:lineRule="auto"/>
              <w:ind w:firstLine="0" w:firstLineChars="0"/>
              <w:jc w:val="center"/>
            </w:pPr>
            <w:r>
              <w:rPr>
                <w:rFonts w:ascii="Times New Roman" w:hAnsi="Times New Roman" w:eastAsia="宋体" w:cs="Times New Roman"/>
                <w:b/>
                <w:sz w:val="18"/>
              </w:rPr>
              <w:t>Wilson95%区间</w:t>
            </w:r>
          </w:p>
        </w:tc>
        <w:tc>
          <w:tcPr>
            <w:tcW w:w="3288" w:type="dxa"/>
            <w:tcBorders>
              <w:top w:val="nil"/>
              <w:left w:val="nil"/>
              <w:bottom w:val="single" w:color="000000" w:sz="6" w:space="0"/>
              <w:right w:val="nil"/>
            </w:tcBorders>
          </w:tcPr>
          <w:p w14:paraId="565538DF">
            <w:pPr>
              <w:keepNext/>
              <w:spacing w:before="40" w:after="40" w:line="240" w:lineRule="auto"/>
              <w:ind w:firstLine="0" w:firstLineChars="0"/>
              <w:jc w:val="center"/>
            </w:pPr>
            <w:r>
              <w:rPr>
                <w:rFonts w:ascii="Times New Roman" w:hAnsi="Times New Roman" w:eastAsia="宋体" w:cs="Times New Roman"/>
                <w:b/>
                <w:sz w:val="18"/>
              </w:rPr>
              <w:t>本文采用的表述</w:t>
            </w:r>
          </w:p>
        </w:tc>
      </w:tr>
      <w:tr w14:paraId="469204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D5FF1A5">
            <w:pPr>
              <w:keepNext/>
              <w:spacing w:before="40" w:after="40" w:line="240" w:lineRule="auto"/>
              <w:ind w:firstLine="0" w:firstLineChars="0"/>
              <w:jc w:val="left"/>
            </w:pPr>
            <w:r>
              <w:rPr>
                <w:rFonts w:ascii="Times New Roman" w:hAnsi="Times New Roman" w:eastAsia="宋体" w:cs="Times New Roman"/>
                <w:b w:val="0"/>
                <w:sz w:val="18"/>
              </w:rPr>
              <w:t>门控循环网络，仅世界回报</w:t>
            </w:r>
          </w:p>
        </w:tc>
        <w:tc>
          <w:tcPr>
            <w:tcW w:w="907" w:type="dxa"/>
          </w:tcPr>
          <w:p w14:paraId="2897EB45">
            <w:pPr>
              <w:keepNext/>
              <w:spacing w:before="40" w:after="40" w:line="240" w:lineRule="auto"/>
              <w:ind w:firstLine="0" w:firstLineChars="0"/>
              <w:jc w:val="center"/>
            </w:pPr>
            <w:r>
              <w:rPr>
                <w:rFonts w:ascii="Times New Roman" w:hAnsi="Times New Roman" w:eastAsia="宋体" w:cs="Times New Roman"/>
                <w:b w:val="0"/>
                <w:sz w:val="18"/>
              </w:rPr>
              <w:t>8/8</w:t>
            </w:r>
          </w:p>
        </w:tc>
        <w:tc>
          <w:tcPr>
            <w:tcW w:w="1814" w:type="dxa"/>
          </w:tcPr>
          <w:p w14:paraId="2A0D45D6">
            <w:pPr>
              <w:keepNext/>
              <w:spacing w:before="40" w:after="40" w:line="240" w:lineRule="auto"/>
              <w:ind w:firstLine="0" w:firstLineChars="0"/>
              <w:jc w:val="center"/>
            </w:pPr>
            <w:r>
              <w:rPr>
                <w:rFonts w:ascii="Times New Roman" w:hAnsi="Times New Roman" w:eastAsia="宋体" w:cs="Times New Roman"/>
                <w:b w:val="0"/>
                <w:sz w:val="18"/>
              </w:rPr>
              <w:t>[0.676, 1.000]</w:t>
            </w:r>
          </w:p>
        </w:tc>
        <w:tc>
          <w:tcPr>
            <w:tcW w:w="3288" w:type="dxa"/>
          </w:tcPr>
          <w:p w14:paraId="18C39EB4">
            <w:pPr>
              <w:keepNext/>
              <w:spacing w:before="40" w:after="40" w:line="240" w:lineRule="auto"/>
              <w:ind w:firstLine="0" w:firstLineChars="0"/>
              <w:jc w:val="center"/>
            </w:pPr>
            <w:r>
              <w:rPr>
                <w:rFonts w:ascii="Times New Roman" w:hAnsi="Times New Roman" w:eastAsia="宋体" w:cs="Times New Roman"/>
                <w:b w:val="0"/>
                <w:sz w:val="18"/>
              </w:rPr>
              <w:t>本任务本预算下维持并因果使用</w:t>
            </w:r>
          </w:p>
        </w:tc>
      </w:tr>
      <w:tr w14:paraId="6BEF28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38219F00">
            <w:pPr>
              <w:keepNext/>
              <w:spacing w:before="40" w:after="40" w:line="240" w:lineRule="auto"/>
              <w:ind w:firstLine="0" w:firstLineChars="0"/>
              <w:jc w:val="left"/>
            </w:pPr>
            <w:r>
              <w:rPr>
                <w:rFonts w:ascii="Times New Roman" w:hAnsi="Times New Roman" w:eastAsia="宋体" w:cs="Times New Roman"/>
                <w:b w:val="0"/>
                <w:sz w:val="18"/>
              </w:rPr>
              <w:t>无门循环网络，同一超参数</w:t>
            </w:r>
          </w:p>
        </w:tc>
        <w:tc>
          <w:tcPr>
            <w:tcW w:w="907" w:type="dxa"/>
          </w:tcPr>
          <w:p w14:paraId="1B259176">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A656889">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7DA3DB4">
            <w:pPr>
              <w:keepNext/>
              <w:spacing w:before="40" w:after="40" w:line="240" w:lineRule="auto"/>
              <w:ind w:firstLine="0" w:firstLineChars="0"/>
              <w:jc w:val="center"/>
            </w:pPr>
            <w:r>
              <w:rPr>
                <w:rFonts w:ascii="Times New Roman" w:hAnsi="Times New Roman" w:eastAsia="宋体" w:cs="Times New Roman"/>
                <w:b w:val="0"/>
                <w:sz w:val="18"/>
              </w:rPr>
              <w:t>未单独调参的对照</w:t>
            </w:r>
          </w:p>
        </w:tc>
      </w:tr>
      <w:tr w14:paraId="5FA0BC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4365FD13">
            <w:pPr>
              <w:keepNext/>
              <w:spacing w:before="40" w:after="40" w:line="240" w:lineRule="auto"/>
              <w:ind w:firstLine="0" w:firstLineChars="0"/>
              <w:jc w:val="left"/>
            </w:pPr>
            <w:r>
              <w:rPr>
                <w:rFonts w:ascii="Times New Roman" w:hAnsi="Times New Roman" w:eastAsia="宋体" w:cs="Times New Roman"/>
                <w:b w:val="0"/>
                <w:sz w:val="18"/>
              </w:rPr>
              <w:t>无门循环网络，调参种子上选定超参数 †</w:t>
            </w:r>
          </w:p>
        </w:tc>
        <w:tc>
          <w:tcPr>
            <w:tcW w:w="907" w:type="dxa"/>
          </w:tcPr>
          <w:p w14:paraId="523FB72A">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DAB6F62">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196DD6C">
            <w:pPr>
              <w:keepNext/>
              <w:spacing w:before="40" w:after="40" w:line="240" w:lineRule="auto"/>
              <w:ind w:firstLine="0" w:firstLineChars="0"/>
              <w:jc w:val="center"/>
            </w:pPr>
            <w:r>
              <w:rPr>
                <w:rFonts w:ascii="Times New Roman" w:hAnsi="Times New Roman" w:eastAsia="宋体" w:cs="Times New Roman"/>
                <w:b w:val="0"/>
                <w:sz w:val="18"/>
              </w:rPr>
              <w:t>有限搜索后仍失败</w:t>
            </w:r>
          </w:p>
        </w:tc>
      </w:tr>
      <w:tr w14:paraId="1BD0E8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10926ADA">
            <w:pPr>
              <w:keepNext/>
              <w:spacing w:before="40" w:after="40" w:line="240" w:lineRule="auto"/>
              <w:ind w:firstLine="0" w:firstLineChars="0"/>
              <w:jc w:val="left"/>
            </w:pPr>
            <w:r>
              <w:rPr>
                <w:rFonts w:ascii="Times New Roman" w:hAnsi="Times New Roman" w:eastAsia="宋体" w:cs="Times New Roman"/>
                <w:b w:val="0"/>
                <w:sz w:val="18"/>
              </w:rPr>
              <w:t>指定寄存器（设计者接线）</w:t>
            </w:r>
          </w:p>
        </w:tc>
        <w:tc>
          <w:tcPr>
            <w:tcW w:w="907" w:type="dxa"/>
          </w:tcPr>
          <w:p w14:paraId="38E60A53">
            <w:pPr>
              <w:keepNext/>
              <w:spacing w:before="40" w:after="40" w:line="240" w:lineRule="auto"/>
              <w:ind w:firstLine="0" w:firstLineChars="0"/>
              <w:jc w:val="center"/>
            </w:pPr>
            <w:r>
              <w:rPr>
                <w:rFonts w:ascii="Times New Roman" w:hAnsi="Times New Roman" w:eastAsia="宋体" w:cs="Times New Roman"/>
                <w:b w:val="0"/>
                <w:sz w:val="18"/>
              </w:rPr>
              <w:t>7/8</w:t>
            </w:r>
          </w:p>
        </w:tc>
        <w:tc>
          <w:tcPr>
            <w:tcW w:w="1814" w:type="dxa"/>
          </w:tcPr>
          <w:p w14:paraId="028A008E">
            <w:pPr>
              <w:keepNext/>
              <w:spacing w:before="40" w:after="40" w:line="240" w:lineRule="auto"/>
              <w:ind w:firstLine="0" w:firstLineChars="0"/>
              <w:jc w:val="center"/>
            </w:pPr>
            <w:r>
              <w:rPr>
                <w:rFonts w:ascii="Times New Roman" w:hAnsi="Times New Roman" w:eastAsia="宋体" w:cs="Times New Roman"/>
                <w:b w:val="0"/>
                <w:sz w:val="18"/>
              </w:rPr>
              <w:t>[0.529, 0.978]</w:t>
            </w:r>
          </w:p>
        </w:tc>
        <w:tc>
          <w:tcPr>
            <w:tcW w:w="3288" w:type="dxa"/>
          </w:tcPr>
          <w:p w14:paraId="2B2D1D55">
            <w:pPr>
              <w:keepNext/>
              <w:spacing w:before="40" w:after="40" w:line="240" w:lineRule="auto"/>
              <w:ind w:firstLine="0" w:firstLineChars="0"/>
              <w:jc w:val="center"/>
            </w:pPr>
            <w:r>
              <w:rPr>
                <w:rFonts w:ascii="Times New Roman" w:hAnsi="Times New Roman" w:eastAsia="宋体" w:cs="Times New Roman"/>
                <w:b w:val="0"/>
                <w:sz w:val="18"/>
              </w:rPr>
              <w:t>工程对照，不是发现</w:t>
            </w:r>
          </w:p>
        </w:tc>
      </w:tr>
      <w:tr w14:paraId="65A69C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3E0A144">
            <w:pPr>
              <w:keepNext/>
              <w:spacing w:before="40" w:after="40" w:line="240" w:lineRule="auto"/>
              <w:ind w:firstLine="0" w:firstLineChars="0"/>
              <w:jc w:val="left"/>
            </w:pPr>
            <w:r>
              <w:rPr>
                <w:rFonts w:ascii="Times New Roman" w:hAnsi="Times New Roman" w:eastAsia="宋体" w:cs="Times New Roman"/>
                <w:b w:val="0"/>
                <w:sz w:val="18"/>
              </w:rPr>
              <w:t>新颖度统计量门</w:t>
            </w:r>
          </w:p>
        </w:tc>
        <w:tc>
          <w:tcPr>
            <w:tcW w:w="907" w:type="dxa"/>
          </w:tcPr>
          <w:p w14:paraId="4AD6E3DB">
            <w:pPr>
              <w:keepNext/>
              <w:spacing w:before="40" w:after="40" w:line="240" w:lineRule="auto"/>
              <w:ind w:firstLine="0" w:firstLineChars="0"/>
              <w:jc w:val="center"/>
            </w:pPr>
            <w:r>
              <w:rPr>
                <w:rFonts w:ascii="Times New Roman" w:hAnsi="Times New Roman" w:eastAsia="宋体" w:cs="Times New Roman"/>
                <w:b w:val="0"/>
                <w:sz w:val="18"/>
              </w:rPr>
              <w:t>2/8</w:t>
            </w:r>
          </w:p>
        </w:tc>
        <w:tc>
          <w:tcPr>
            <w:tcW w:w="1814" w:type="dxa"/>
          </w:tcPr>
          <w:p w14:paraId="035E3506">
            <w:pPr>
              <w:keepNext/>
              <w:spacing w:before="40" w:after="40" w:line="240" w:lineRule="auto"/>
              <w:ind w:firstLine="0" w:firstLineChars="0"/>
              <w:jc w:val="center"/>
            </w:pPr>
            <w:r>
              <w:rPr>
                <w:rFonts w:ascii="Times New Roman" w:hAnsi="Times New Roman" w:eastAsia="宋体" w:cs="Times New Roman"/>
                <w:b w:val="0"/>
                <w:sz w:val="18"/>
              </w:rPr>
              <w:t>[0.071, 0.591]</w:t>
            </w:r>
          </w:p>
        </w:tc>
        <w:tc>
          <w:tcPr>
            <w:tcW w:w="3288" w:type="dxa"/>
          </w:tcPr>
          <w:p w14:paraId="4D995197">
            <w:pPr>
              <w:keepNext/>
              <w:spacing w:before="40" w:after="40" w:line="240" w:lineRule="auto"/>
              <w:ind w:firstLine="0" w:firstLineChars="0"/>
              <w:jc w:val="center"/>
            </w:pPr>
            <w:r>
              <w:rPr>
                <w:rFonts w:ascii="Times New Roman" w:hAnsi="Times New Roman" w:eastAsia="宋体" w:cs="Times New Roman"/>
                <w:b w:val="0"/>
                <w:sz w:val="18"/>
              </w:rPr>
              <w:t>未过组门</w:t>
            </w:r>
          </w:p>
        </w:tc>
      </w:tr>
      <w:tr w14:paraId="75B96F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7DC040E">
            <w:pPr>
              <w:spacing w:before="40" w:after="40" w:line="240" w:lineRule="auto"/>
              <w:ind w:firstLine="0" w:firstLineChars="0"/>
              <w:jc w:val="left"/>
            </w:pPr>
            <w:r>
              <w:rPr>
                <w:rFonts w:ascii="Times New Roman" w:hAnsi="Times New Roman" w:eastAsia="宋体" w:cs="Times New Roman"/>
                <w:b w:val="0"/>
                <w:sz w:val="18"/>
              </w:rPr>
              <w:t>无记忆基线</w:t>
            </w:r>
          </w:p>
        </w:tc>
        <w:tc>
          <w:tcPr>
            <w:tcW w:w="907" w:type="dxa"/>
          </w:tcPr>
          <w:p w14:paraId="3974EFD3">
            <w:pPr>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4256F7B1">
            <w:pPr>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568572D8">
            <w:pPr>
              <w:spacing w:before="40" w:after="40" w:line="240" w:lineRule="auto"/>
              <w:ind w:firstLine="0" w:firstLineChars="0"/>
              <w:jc w:val="center"/>
            </w:pPr>
            <w:r>
              <w:rPr>
                <w:rFonts w:ascii="Times New Roman" w:hAnsi="Times New Roman" w:eastAsia="宋体" w:cs="Times New Roman"/>
                <w:b w:val="0"/>
                <w:sz w:val="18"/>
              </w:rPr>
              <w:t>任务需要跨时间信息</w:t>
            </w:r>
          </w:p>
        </w:tc>
      </w:tr>
    </w:tbl>
    <w:p w14:paraId="17A436E0">
      <w:pPr>
        <w:spacing w:before="60" w:after="160" w:line="276" w:lineRule="auto"/>
        <w:ind w:firstLine="0" w:firstLineChars="0"/>
        <w:jc w:val="left"/>
      </w:pPr>
      <w:r>
        <w:rPr>
          <w:rFonts w:ascii="Times New Roman" w:hAnsi="Times New Roman" w:eastAsia="宋体"/>
          <w:sz w:val="18"/>
        </w:rPr>
        <w:t>注：† 为原文稿定稿之后的后续实验；VOID 计入分母。</w:t>
      </w:r>
    </w:p>
    <w:p w14:paraId="1DD6210A">
      <w:pPr>
        <w:spacing w:before="180" w:after="80" w:line="300" w:lineRule="auto"/>
        <w:ind w:firstLine="0" w:firstLineChars="0"/>
        <w:jc w:val="left"/>
      </w:pPr>
      <w:r>
        <w:rPr>
          <w:rFonts w:ascii="Times New Roman" w:hAnsi="Times New Roman" w:eastAsia="黑体" w:cs="Times New Roman"/>
          <w:b/>
          <w:sz w:val="24"/>
        </w:rPr>
        <w:t>4.4  研究三：进化策略对照与加压网格</w:t>
      </w:r>
    </w:p>
    <w:p w14:paraId="38B4E693">
      <w:pPr>
        <w:spacing w:before="0" w:after="60" w:line="300" w:lineRule="auto"/>
        <w:ind w:firstLine="420" w:firstLineChars="200"/>
        <w:jc w:val="both"/>
      </w:pPr>
      <w:r>
        <w:rPr>
          <w:rFonts w:ascii="Times New Roman" w:hAnsi="Times New Roman" w:eastAsia="宋体" w:cs="Times New Roman"/>
          <w:b w:val="0"/>
          <w:sz w:val="21"/>
        </w:rPr>
        <w:t>门控网络的阳性来自基于梯度的信用分配。若要判断结论对优化器有多敏感，就需要在同一架构上换用不依赖时间反向传播的优化器，为此本文运行了进化策略。最初的实现中，参数更新步长比 Salimans 等给出的形式小一个扰动方差因子</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，种群均值几乎不移动，因而当时的 0/8 不能解释为进化方法的失败。把步长改为标准形式之后，又发现最优个体是在参数更新之后才重建的，返回的向量实际上未被评估过；旧步长下参数几乎不动，这一错误被掩盖，标准步长下则成为致命缺陷。</w:t>
      </w:r>
    </w:p>
    <w:p w14:paraId="46548662">
      <w:pPr>
        <w:spacing w:before="0" w:after="60" w:line="300" w:lineRule="auto"/>
        <w:ind w:firstLine="420" w:firstLineChars="200"/>
        <w:jc w:val="both"/>
      </w:pPr>
      <w:r>
        <w:rPr>
          <w:rFonts w:ascii="Times New Roman" w:hAnsi="Times New Roman" w:eastAsia="宋体" w:cs="Times New Roman"/>
          <w:b w:val="0"/>
          <w:sz w:val="21"/>
        </w:rPr>
        <w:t>修正为在更新之前保存被评估的个体，并在结束时以独立随机数重新比较中心点与该个体之后，进化策略在简单任务（两个目标、更密集的线索）上 8/8 通过，说明验收标准对该优化器是可满足的；在玩具主任务上为 4/8，通过的种子为 205、210、211 和 212，Wilson 区间 [0.215, 0.785]（†，见表 4）。与表 3 的门控梯度结果并置，只能得出：在匹配的评估预算下，进化策略没有达到 7/8。由于没有进行预算扫描，这一结果不能用来判断进化方法在更大预算下的表现。</w:t>
      </w:r>
    </w:p>
    <w:p w14:paraId="51BA4FA9">
      <w:pPr>
        <w:spacing w:before="0" w:after="60" w:line="300" w:lineRule="auto"/>
        <w:ind w:firstLine="420" w:firstLineChars="200"/>
        <w:jc w:val="both"/>
      </w:pPr>
      <w:r>
        <w:rPr>
          <w:rFonts w:ascii="Times New Roman" w:hAnsi="Times New Roman" w:eastAsia="宋体" w:cs="Times New Roman"/>
          <w:b w:val="0"/>
          <w:sz w:val="21"/>
        </w:rPr>
        <w:t>玩具任务的阳性是否依赖于环境的简单性，需要在动力学更丰富的环境中检验。加压环境为 8×8 网格，带有冻结的导航控制器和毒性代价，毒性系数为 2.5。该配置是在 6 个候选环境中，按无需进化即可计算的必要性指数选定的（图 10 所示的零进化必要性检验），以确保记忆在该环境中确有回报上的价值。目标仍由线索提示。指定寄存器在该环境中通过了包含附加检查的验收，比例为 8/8，再次说明环境与验收标准可以被工程接线满足。</w:t>
      </w:r>
    </w:p>
    <w:p w14:paraId="7C6F1D54">
      <w:pPr>
        <w:spacing w:before="0" w:after="60" w:line="300" w:lineRule="auto"/>
        <w:ind w:firstLine="420" w:firstLineChars="200"/>
        <w:jc w:val="both"/>
      </w:pPr>
      <w:r>
        <w:rPr>
          <w:rFonts w:ascii="Times New Roman" w:hAnsi="Times New Roman" w:eastAsia="宋体" w:cs="Times New Roman"/>
          <w:b w:val="0"/>
          <w:sz w:val="21"/>
        </w:rPr>
        <w:t>把玩具任务上通过的门控学习规则原样移入加压网格后（†），8 个科学种子中只有 1 个通过全部准则，区间 [0.022, 0.471]。失败主要集中在特异性：稀疏线索下的定向写入往往成立，但当线索每一步都可见时，隐藏状态仍会被拉向另一目标的质心。部分种子同时未通过撤除后的保持或回报边际。解码与翻转在多数失败种子上仍高于阈值，可见失败并非“完全没有学到目标”，而是未能稳定地守住写通道。</w:t>
      </w:r>
    </w:p>
    <w:p w14:paraId="182A58D9">
      <w:pPr>
        <w:keepNext/>
        <w:spacing w:before="160" w:after="40" w:line="240" w:lineRule="auto"/>
        <w:ind w:firstLine="0" w:firstLineChars="0"/>
        <w:jc w:val="center"/>
      </w:pPr>
      <w:r>
        <w:drawing>
          <wp:inline distT="0" distB="0" distL="114300" distR="114300">
            <wp:extent cx="3977640" cy="1809750"/>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978000" cy="1810010"/>
                    </a:xfrm>
                    <a:prstGeom prst="rect">
                      <a:avLst/>
                    </a:prstGeom>
                  </pic:spPr>
                </pic:pic>
              </a:graphicData>
            </a:graphic>
          </wp:inline>
        </w:drawing>
      </w:r>
    </w:p>
    <w:p w14:paraId="1E8AFF7A">
      <w:pPr>
        <w:spacing w:before="60" w:after="160" w:line="276" w:lineRule="auto"/>
        <w:ind w:firstLine="0" w:firstLineChars="0"/>
        <w:jc w:val="both"/>
      </w:pPr>
      <w:bookmarkStart w:id="12" w:name="fig10"/>
      <w:r>
        <w:rPr>
          <w:rFonts w:ascii="Times New Roman" w:hAnsi="Times New Roman" w:eastAsia="黑体"/>
          <w:b/>
          <w:sz w:val="18"/>
        </w:rPr>
        <w:t>图 10  加压网格的零进化必要性检验</w:t>
      </w:r>
      <w:r>
        <w:rPr>
          <w:rFonts w:ascii="Times New Roman" w:hAnsi="Times New Roman" w:eastAsia="宋体"/>
          <w:sz w:val="18"/>
        </w:rPr>
        <w:t>。6 个候选环境的必要性指数 NI = (R_mem − R_nomem) / R_mem 及 95% 区间，NI &gt; 1 表示无记忆策略回报为负；橙色为选定的 8×8、毒性 2.5 配置。</w:t>
      </w:r>
      <w:bookmarkEnd w:id="12"/>
    </w:p>
    <w:p w14:paraId="5AF97B5B">
      <w:pPr>
        <w:spacing w:before="0" w:after="60" w:line="300" w:lineRule="auto"/>
        <w:ind w:firstLine="420" w:firstLineChars="200"/>
        <w:jc w:val="both"/>
      </w:pPr>
      <w:r>
        <w:rPr>
          <w:rFonts w:ascii="Times New Roman" w:hAnsi="Times New Roman" w:eastAsia="宋体" w:cs="Times New Roman"/>
          <w:b w:val="0"/>
          <w:sz w:val="21"/>
        </w:rPr>
        <w:t>为区分“预算不足”与“该预算上限内的结构性失败”，后续实验（†）只提高训练预算，验收文本保持不变。预算上限约为原先回合数的 4 倍（最多 1600 个训练阶段，每阶段 32 条回合，学习率在调参种子上定为 1×10^-3）。在该上限内，组通过数升至 3/8，通过的种子为 200、205 和 212，区间 [0.137, 0.694]，无效种子为 0。3/8 低于 7/8，因此“提高预算即可通过组门”在该上限内不成立。撤除后的保持在 8 个种子上全部通过，说明追加预算改善了保持，却没有使组门通过。</w:t>
      </w:r>
    </w:p>
    <w:p w14:paraId="3FE07C02">
      <w:pPr>
        <w:spacing w:before="0" w:after="60" w:line="300" w:lineRule="auto"/>
        <w:ind w:firstLine="420" w:firstLineChars="200"/>
        <w:jc w:val="both"/>
      </w:pPr>
      <w:r>
        <w:rPr>
          <w:rFonts w:ascii="Times New Roman" w:hAnsi="Times New Roman" w:eastAsia="宋体" w:cs="Times New Roman"/>
          <w:b w:val="0"/>
          <w:sz w:val="21"/>
        </w:rPr>
        <w:t>五个失败种子的失败模式并不一致（图 11）。210、211 与 218 属于“定向写入成立而特异性不成立”；216 在跑满上限后特异性已经成立，仅未通过回报边际；219 的特异性子句成立，但码本的留出平衡准确率为 0.699，低于 0.75，且绝对回报未过线。按跑前规则，失败种子中至少一半符合特异性模式即记为结构瓶颈候选，本结果满足这一条件；但 216 与 219 的存在说明，不能把五个失败一概归为同一种模式。区间上界 0.694 低于组门对应的比例 0.875，却并未排除更高预算下点估计继续上升的可能；因此，特异性失败只是该预算上限内的主要失败模式之一，而不是跨预算成立的规律。</w:t>
      </w:r>
    </w:p>
    <w:p w14:paraId="7103149A">
      <w:pPr>
        <w:keepNext/>
        <w:spacing w:before="160" w:after="40" w:line="240" w:lineRule="auto"/>
        <w:ind w:firstLine="0" w:firstLineChars="0"/>
        <w:jc w:val="center"/>
      </w:pPr>
      <w:r>
        <w:drawing>
          <wp:inline distT="0" distB="0" distL="114300" distR="114300">
            <wp:extent cx="4895215" cy="2063115"/>
            <wp:effectExtent l="0" t="0" r="635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896000" cy="2063958"/>
                    </a:xfrm>
                    <a:prstGeom prst="rect">
                      <a:avLst/>
                    </a:prstGeom>
                  </pic:spPr>
                </pic:pic>
              </a:graphicData>
            </a:graphic>
          </wp:inline>
        </w:drawing>
      </w:r>
    </w:p>
    <w:p w14:paraId="3AF8E785">
      <w:pPr>
        <w:spacing w:before="60" w:after="160" w:line="276" w:lineRule="auto"/>
        <w:ind w:firstLine="0" w:firstLineChars="0"/>
        <w:jc w:val="both"/>
      </w:pPr>
      <w:bookmarkStart w:id="13" w:name="fig11"/>
      <w:r>
        <w:rPr>
          <w:rFonts w:ascii="Times New Roman" w:hAnsi="Times New Roman" w:eastAsia="黑体"/>
          <w:b/>
          <w:sz w:val="18"/>
        </w:rPr>
        <w:t>图 11  加压网格预算上限内 8 个科学种子的逐项判定</w:t>
      </w:r>
      <w:r>
        <w:rPr>
          <w:rFonts w:ascii="Times New Roman" w:hAnsi="Times New Roman" w:eastAsia="宋体"/>
          <w:sz w:val="18"/>
        </w:rPr>
        <w:t>。后续实验。3 个种子通过；210、211、218 为定向写入成立而特异性不成立；216 只未过回报边际；219 特异性成立，但码本留出平衡准确率 0.699 低于 0.75，回报也未过线。“—”表示 C1–C6 未全过、按规则不评 C7。</w:t>
      </w:r>
      <w:bookmarkEnd w:id="13"/>
    </w:p>
    <w:p w14:paraId="30810B46">
      <w:pPr>
        <w:keepNext/>
        <w:spacing w:before="120" w:after="60" w:line="276" w:lineRule="auto"/>
        <w:ind w:firstLine="0" w:firstLineChars="0"/>
        <w:jc w:val="center"/>
      </w:pPr>
      <w:bookmarkStart w:id="14" w:name="tbl4"/>
      <w:r>
        <w:rPr>
          <w:rFonts w:ascii="Times New Roman" w:hAnsi="Times New Roman" w:eastAsia="宋体" w:cs="Times New Roman"/>
          <w:b/>
          <w:sz w:val="18"/>
        </w:rPr>
        <w:t>表 4  加压网格与进化策略（分母均为 8）</w:t>
      </w:r>
      <w:bookmarkEnd w:id="14"/>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174"/>
        <w:gridCol w:w="1587"/>
        <w:gridCol w:w="3742"/>
      </w:tblGrid>
      <w:tr w14:paraId="3C775F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175" w:type="dxa"/>
            <w:tcBorders>
              <w:top w:val="nil"/>
              <w:left w:val="nil"/>
              <w:bottom w:val="single" w:color="000000" w:sz="6" w:space="0"/>
              <w:right w:val="nil"/>
            </w:tcBorders>
          </w:tcPr>
          <w:p w14:paraId="00B0B16F">
            <w:pPr>
              <w:keepNext/>
              <w:spacing w:before="40" w:after="40" w:line="240" w:lineRule="auto"/>
              <w:ind w:firstLine="0" w:firstLineChars="0"/>
              <w:jc w:val="left"/>
            </w:pPr>
            <w:r>
              <w:rPr>
                <w:rFonts w:ascii="Times New Roman" w:hAnsi="Times New Roman" w:eastAsia="宋体" w:cs="Times New Roman"/>
                <w:b/>
                <w:sz w:val="18"/>
              </w:rPr>
              <w:t>条件</w:t>
            </w:r>
          </w:p>
        </w:tc>
        <w:tc>
          <w:tcPr>
            <w:tcW w:w="1587" w:type="dxa"/>
            <w:tcBorders>
              <w:top w:val="nil"/>
              <w:left w:val="nil"/>
              <w:bottom w:val="single" w:color="000000" w:sz="6" w:space="0"/>
              <w:right w:val="nil"/>
            </w:tcBorders>
          </w:tcPr>
          <w:p w14:paraId="5B8B12E1">
            <w:pPr>
              <w:keepNext/>
              <w:spacing w:before="40" w:after="40" w:line="240" w:lineRule="auto"/>
              <w:ind w:firstLine="0" w:firstLineChars="0"/>
              <w:jc w:val="center"/>
            </w:pPr>
            <w:r>
              <w:rPr>
                <w:rFonts w:ascii="Times New Roman" w:hAnsi="Times New Roman" w:eastAsia="宋体" w:cs="Times New Roman"/>
                <w:b/>
                <w:sz w:val="18"/>
              </w:rPr>
              <w:t>通过数</w:t>
            </w:r>
          </w:p>
        </w:tc>
        <w:tc>
          <w:tcPr>
            <w:tcW w:w="3742" w:type="dxa"/>
            <w:tcBorders>
              <w:top w:val="nil"/>
              <w:left w:val="nil"/>
              <w:bottom w:val="single" w:color="000000" w:sz="6" w:space="0"/>
              <w:right w:val="nil"/>
            </w:tcBorders>
          </w:tcPr>
          <w:p w14:paraId="04E1F2D1">
            <w:pPr>
              <w:keepNext/>
              <w:spacing w:before="40" w:after="40" w:line="240" w:lineRule="auto"/>
              <w:ind w:firstLine="0" w:firstLineChars="0"/>
              <w:jc w:val="center"/>
            </w:pPr>
            <w:r>
              <w:rPr>
                <w:rFonts w:ascii="Times New Roman" w:hAnsi="Times New Roman" w:eastAsia="宋体" w:cs="Times New Roman"/>
                <w:b/>
                <w:sz w:val="18"/>
              </w:rPr>
              <w:t>区间或备注</w:t>
            </w:r>
          </w:p>
        </w:tc>
      </w:tr>
      <w:tr w14:paraId="0B146F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6451ADEE">
            <w:pPr>
              <w:keepNext/>
              <w:spacing w:before="40" w:after="40" w:line="240" w:lineRule="auto"/>
              <w:ind w:firstLine="0" w:firstLineChars="0"/>
              <w:jc w:val="left"/>
            </w:pPr>
            <w:r>
              <w:rPr>
                <w:rFonts w:ascii="Times New Roman" w:hAnsi="Times New Roman" w:eastAsia="宋体" w:cs="Times New Roman"/>
                <w:b w:val="0"/>
                <w:sz w:val="18"/>
              </w:rPr>
              <w:t>加压网格，门控网络，初始预算 †</w:t>
            </w:r>
          </w:p>
        </w:tc>
        <w:tc>
          <w:tcPr>
            <w:tcW w:w="1587" w:type="dxa"/>
          </w:tcPr>
          <w:p w14:paraId="0E10AE58">
            <w:pPr>
              <w:keepNext/>
              <w:spacing w:before="40" w:after="40" w:line="240" w:lineRule="auto"/>
              <w:ind w:firstLine="0" w:firstLineChars="0"/>
              <w:jc w:val="center"/>
            </w:pPr>
            <w:r>
              <w:rPr>
                <w:rFonts w:ascii="Times New Roman" w:hAnsi="Times New Roman" w:eastAsia="宋体" w:cs="Times New Roman"/>
                <w:b w:val="0"/>
                <w:sz w:val="18"/>
              </w:rPr>
              <w:t>1/8</w:t>
            </w:r>
          </w:p>
        </w:tc>
        <w:tc>
          <w:tcPr>
            <w:tcW w:w="3742" w:type="dxa"/>
          </w:tcPr>
          <w:p w14:paraId="0483700F">
            <w:pPr>
              <w:keepNext/>
              <w:spacing w:before="40" w:after="40" w:line="240" w:lineRule="auto"/>
              <w:ind w:firstLine="0" w:firstLineChars="0"/>
              <w:jc w:val="center"/>
            </w:pPr>
            <w:r>
              <w:rPr>
                <w:rFonts w:ascii="Times New Roman" w:hAnsi="Times New Roman" w:eastAsia="宋体" w:cs="Times New Roman"/>
                <w:b w:val="0"/>
                <w:sz w:val="18"/>
              </w:rPr>
              <w:t>[0.022, 0.471]</w:t>
            </w:r>
          </w:p>
        </w:tc>
      </w:tr>
      <w:tr w14:paraId="1C15DE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795B8FC">
            <w:pPr>
              <w:keepNext/>
              <w:spacing w:before="40" w:after="40" w:line="240" w:lineRule="auto"/>
              <w:ind w:firstLine="0" w:firstLineChars="0"/>
              <w:jc w:val="left"/>
            </w:pPr>
            <w:r>
              <w:rPr>
                <w:rFonts w:ascii="Times New Roman" w:hAnsi="Times New Roman" w:eastAsia="宋体" w:cs="Times New Roman"/>
                <w:b w:val="0"/>
                <w:sz w:val="18"/>
              </w:rPr>
              <w:t>加压网格，预算上限内 †</w:t>
            </w:r>
          </w:p>
        </w:tc>
        <w:tc>
          <w:tcPr>
            <w:tcW w:w="1587" w:type="dxa"/>
          </w:tcPr>
          <w:p w14:paraId="670CC8C7">
            <w:pPr>
              <w:keepNext/>
              <w:spacing w:before="40" w:after="40" w:line="240" w:lineRule="auto"/>
              <w:ind w:firstLine="0" w:firstLineChars="0"/>
              <w:jc w:val="center"/>
            </w:pPr>
            <w:r>
              <w:rPr>
                <w:rFonts w:ascii="Times New Roman" w:hAnsi="Times New Roman" w:eastAsia="宋体" w:cs="Times New Roman"/>
                <w:b w:val="0"/>
                <w:sz w:val="18"/>
              </w:rPr>
              <w:t>3/8</w:t>
            </w:r>
          </w:p>
        </w:tc>
        <w:tc>
          <w:tcPr>
            <w:tcW w:w="3742" w:type="dxa"/>
          </w:tcPr>
          <w:p w14:paraId="408E2B03">
            <w:pPr>
              <w:keepNext/>
              <w:spacing w:before="40" w:after="40" w:line="240" w:lineRule="auto"/>
              <w:ind w:firstLine="0" w:firstLineChars="0"/>
              <w:jc w:val="center"/>
            </w:pPr>
            <w:r>
              <w:rPr>
                <w:rFonts w:ascii="Times New Roman" w:hAnsi="Times New Roman" w:eastAsia="宋体" w:cs="Times New Roman"/>
                <w:b w:val="0"/>
                <w:sz w:val="18"/>
              </w:rPr>
              <w:t>[0.137, 0.694]；种子 200、205、212</w:t>
            </w:r>
          </w:p>
        </w:tc>
      </w:tr>
      <w:tr w14:paraId="39C937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340C9CA">
            <w:pPr>
              <w:keepNext/>
              <w:spacing w:before="40" w:after="40" w:line="240" w:lineRule="auto"/>
              <w:ind w:firstLine="0" w:firstLineChars="0"/>
              <w:jc w:val="left"/>
            </w:pPr>
            <w:r>
              <w:rPr>
                <w:rFonts w:ascii="Times New Roman" w:hAnsi="Times New Roman" w:eastAsia="宋体" w:cs="Times New Roman"/>
                <w:b w:val="0"/>
                <w:sz w:val="18"/>
              </w:rPr>
              <w:t>其中特异性失败</w:t>
            </w:r>
          </w:p>
        </w:tc>
        <w:tc>
          <w:tcPr>
            <w:tcW w:w="1587" w:type="dxa"/>
          </w:tcPr>
          <w:p w14:paraId="6965469A">
            <w:pPr>
              <w:keepNext/>
              <w:spacing w:before="40" w:after="40" w:line="240" w:lineRule="auto"/>
              <w:ind w:firstLine="0" w:firstLineChars="0"/>
              <w:jc w:val="center"/>
            </w:pPr>
            <w:r>
              <w:rPr>
                <w:rFonts w:ascii="Times New Roman" w:hAnsi="Times New Roman" w:eastAsia="宋体" w:cs="Times New Roman"/>
                <w:b w:val="0"/>
                <w:sz w:val="18"/>
              </w:rPr>
              <w:t>3/5 个失败种子</w:t>
            </w:r>
          </w:p>
        </w:tc>
        <w:tc>
          <w:tcPr>
            <w:tcW w:w="3742" w:type="dxa"/>
          </w:tcPr>
          <w:p w14:paraId="1022B4A7">
            <w:pPr>
              <w:keepNext/>
              <w:spacing w:before="40" w:after="40" w:line="240" w:lineRule="auto"/>
              <w:ind w:firstLine="0" w:firstLineChars="0"/>
              <w:jc w:val="center"/>
            </w:pPr>
            <w:r>
              <w:rPr>
                <w:rFonts w:ascii="Times New Roman" w:hAnsi="Times New Roman" w:eastAsia="宋体" w:cs="Times New Roman"/>
                <w:b w:val="0"/>
                <w:sz w:val="18"/>
              </w:rPr>
              <w:t>210、211、218</w:t>
            </w:r>
          </w:p>
        </w:tc>
      </w:tr>
      <w:tr w14:paraId="558431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D0A85F1">
            <w:pPr>
              <w:keepNext/>
              <w:spacing w:before="40" w:after="40" w:line="240" w:lineRule="auto"/>
              <w:ind w:firstLine="0" w:firstLineChars="0"/>
              <w:jc w:val="left"/>
            </w:pPr>
            <w:r>
              <w:rPr>
                <w:rFonts w:ascii="Times New Roman" w:hAnsi="Times New Roman" w:eastAsia="宋体" w:cs="Times New Roman"/>
                <w:b w:val="0"/>
                <w:sz w:val="18"/>
              </w:rPr>
              <w:t>非特异性失败</w:t>
            </w:r>
          </w:p>
        </w:tc>
        <w:tc>
          <w:tcPr>
            <w:tcW w:w="1587" w:type="dxa"/>
          </w:tcPr>
          <w:p w14:paraId="29BC032C">
            <w:pPr>
              <w:keepNext/>
              <w:spacing w:before="40" w:after="40" w:line="240" w:lineRule="auto"/>
              <w:ind w:firstLine="0" w:firstLineChars="0"/>
              <w:jc w:val="center"/>
            </w:pPr>
            <w:r>
              <w:rPr>
                <w:rFonts w:ascii="Times New Roman" w:hAnsi="Times New Roman" w:eastAsia="宋体" w:cs="Times New Roman"/>
                <w:b w:val="0"/>
                <w:sz w:val="18"/>
              </w:rPr>
              <w:t>2/5</w:t>
            </w:r>
          </w:p>
        </w:tc>
        <w:tc>
          <w:tcPr>
            <w:tcW w:w="3742" w:type="dxa"/>
          </w:tcPr>
          <w:p w14:paraId="1FAD65C3">
            <w:pPr>
              <w:keepNext/>
              <w:spacing w:before="40" w:after="40" w:line="240" w:lineRule="auto"/>
              <w:ind w:firstLine="0" w:firstLineChars="0"/>
              <w:jc w:val="center"/>
            </w:pPr>
            <w:r>
              <w:rPr>
                <w:rFonts w:ascii="Times New Roman" w:hAnsi="Times New Roman" w:eastAsia="宋体" w:cs="Times New Roman"/>
                <w:b w:val="0"/>
                <w:sz w:val="18"/>
              </w:rPr>
              <w:t>216 仅回报；219 为码本与回报</w:t>
            </w:r>
          </w:p>
        </w:tc>
      </w:tr>
      <w:tr w14:paraId="3903E4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8AB5D46">
            <w:pPr>
              <w:keepNext/>
              <w:spacing w:before="40" w:after="40" w:line="240" w:lineRule="auto"/>
              <w:ind w:firstLine="0" w:firstLineChars="0"/>
              <w:jc w:val="left"/>
            </w:pPr>
            <w:r>
              <w:rPr>
                <w:rFonts w:ascii="Times New Roman" w:hAnsi="Times New Roman" w:eastAsia="宋体" w:cs="Times New Roman"/>
                <w:b w:val="0"/>
                <w:sz w:val="18"/>
              </w:rPr>
              <w:t>加压网格，指定寄存器</w:t>
            </w:r>
          </w:p>
        </w:tc>
        <w:tc>
          <w:tcPr>
            <w:tcW w:w="1587" w:type="dxa"/>
          </w:tcPr>
          <w:p w14:paraId="5B12437E">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2328EC70">
            <w:pPr>
              <w:keepNext/>
              <w:spacing w:before="40" w:after="40" w:line="240" w:lineRule="auto"/>
              <w:ind w:firstLine="0" w:firstLineChars="0"/>
              <w:jc w:val="center"/>
            </w:pPr>
            <w:r>
              <w:rPr>
                <w:rFonts w:ascii="Times New Roman" w:hAnsi="Times New Roman" w:eastAsia="宋体" w:cs="Times New Roman"/>
                <w:b w:val="0"/>
                <w:sz w:val="18"/>
              </w:rPr>
              <w:t>工程对照</w:t>
            </w:r>
          </w:p>
        </w:tc>
      </w:tr>
      <w:tr w14:paraId="1F04EA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6A91684">
            <w:pPr>
              <w:keepNext/>
              <w:spacing w:before="40" w:after="40" w:line="240" w:lineRule="auto"/>
              <w:ind w:firstLine="0" w:firstLineChars="0"/>
              <w:jc w:val="left"/>
            </w:pPr>
            <w:r>
              <w:rPr>
                <w:rFonts w:ascii="Times New Roman" w:hAnsi="Times New Roman" w:eastAsia="宋体" w:cs="Times New Roman"/>
                <w:b w:val="0"/>
                <w:sz w:val="18"/>
              </w:rPr>
              <w:t>进化策略，简单任务（修正后） †</w:t>
            </w:r>
          </w:p>
        </w:tc>
        <w:tc>
          <w:tcPr>
            <w:tcW w:w="1587" w:type="dxa"/>
          </w:tcPr>
          <w:p w14:paraId="5A54948A">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44D0F75D">
            <w:pPr>
              <w:keepNext/>
              <w:spacing w:before="40" w:after="40" w:line="240" w:lineRule="auto"/>
              <w:ind w:firstLine="0" w:firstLineChars="0"/>
              <w:jc w:val="center"/>
            </w:pPr>
            <w:r>
              <w:rPr>
                <w:rFonts w:ascii="Times New Roman" w:hAnsi="Times New Roman" w:eastAsia="宋体" w:cs="Times New Roman"/>
                <w:b w:val="0"/>
                <w:sz w:val="18"/>
              </w:rPr>
              <w:t>验收标准可满足</w:t>
            </w:r>
          </w:p>
        </w:tc>
      </w:tr>
      <w:tr w14:paraId="5BFD8E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31126344">
            <w:pPr>
              <w:spacing w:before="40" w:after="40" w:line="240" w:lineRule="auto"/>
              <w:ind w:firstLine="0" w:firstLineChars="0"/>
              <w:jc w:val="left"/>
            </w:pPr>
            <w:r>
              <w:rPr>
                <w:rFonts w:ascii="Times New Roman" w:hAnsi="Times New Roman" w:eastAsia="宋体" w:cs="Times New Roman"/>
                <w:b w:val="0"/>
                <w:sz w:val="18"/>
              </w:rPr>
              <w:t>进化策略，玩具主任务（修正后） †</w:t>
            </w:r>
          </w:p>
        </w:tc>
        <w:tc>
          <w:tcPr>
            <w:tcW w:w="1587" w:type="dxa"/>
          </w:tcPr>
          <w:p w14:paraId="3A7369A7">
            <w:pPr>
              <w:spacing w:before="40" w:after="40" w:line="240" w:lineRule="auto"/>
              <w:ind w:firstLine="0" w:firstLineChars="0"/>
              <w:jc w:val="center"/>
            </w:pPr>
            <w:r>
              <w:rPr>
                <w:rFonts w:ascii="Times New Roman" w:hAnsi="Times New Roman" w:eastAsia="宋体" w:cs="Times New Roman"/>
                <w:b w:val="0"/>
                <w:sz w:val="18"/>
              </w:rPr>
              <w:t>4/8</w:t>
            </w:r>
          </w:p>
        </w:tc>
        <w:tc>
          <w:tcPr>
            <w:tcW w:w="3742" w:type="dxa"/>
          </w:tcPr>
          <w:p w14:paraId="54A9E2A6">
            <w:pPr>
              <w:spacing w:before="40" w:after="40" w:line="240" w:lineRule="auto"/>
              <w:ind w:firstLine="0" w:firstLineChars="0"/>
              <w:jc w:val="center"/>
            </w:pPr>
            <w:r>
              <w:rPr>
                <w:rFonts w:ascii="Times New Roman" w:hAnsi="Times New Roman" w:eastAsia="宋体" w:cs="Times New Roman"/>
                <w:b w:val="0"/>
                <w:sz w:val="18"/>
              </w:rPr>
              <w:t>[0.215, 0.785]</w:t>
            </w:r>
          </w:p>
        </w:tc>
      </w:tr>
    </w:tbl>
    <w:p w14:paraId="672195B7">
      <w:pPr>
        <w:spacing w:before="60" w:after="160" w:line="276" w:lineRule="auto"/>
        <w:ind w:firstLine="0" w:firstLineChars="0"/>
        <w:jc w:val="left"/>
      </w:pPr>
      <w:r>
        <w:rPr>
          <w:rFonts w:ascii="Times New Roman" w:hAnsi="Times New Roman" w:eastAsia="宋体"/>
          <w:sz w:val="18"/>
        </w:rPr>
        <w:t>注：† 为原文稿定稿之后的后续实验；分母均为 8，VOID 计入分母。</w:t>
      </w:r>
    </w:p>
    <w:p w14:paraId="7FAABE7A">
      <w:pPr>
        <w:spacing w:before="0" w:after="60" w:line="300" w:lineRule="auto"/>
        <w:ind w:firstLine="420" w:firstLineChars="200"/>
        <w:jc w:val="both"/>
      </w:pPr>
      <w:r>
        <w:rPr>
          <w:rFonts w:ascii="Times New Roman" w:hAnsi="Times New Roman" w:eastAsia="宋体" w:cs="Times New Roman"/>
          <w:b w:val="0"/>
          <w:sz w:val="21"/>
        </w:rPr>
        <w:t>按第 3.1 节的三个层次归纳研究三的结果，可以得到如下图景。在保持层面，玩具任务上的门控网络通过了非线索时刻解码与撤除后保持等准则，加压网格在预算上限内的撤除保持也为 8/8，但后者的组门未通过。在因果使用层面，玩具任务上的门控网络通过了写通道干预与特异性准则；加压网格的失败种子中则多见定向写入成立而特异性不成立，因此因果使用只得到部分覆盖。自主设定层面没有运行任何协议，也就没有证据；玩具任务的 8/8 与加压网格的 3/8 都不应被理解为向这一层次的接近。</w:t>
      </w:r>
    </w:p>
    <w:p>
      <w:pPr>
        <w:spacing w:before="180" w:after="80" w:line="300" w:lineRule="auto"/>
        <w:ind w:firstLine="0" w:firstLineChars="0"/>
        <w:jc w:val="left"/>
      </w:pPr>
      <w:r>
        <w:rPr>
          <w:rFonts w:ascii="Times New Roman" w:hAnsi="Times New Roman" w:eastAsia="黑体" w:cs="Times New Roman"/>
          <w:b/>
          <w:sz w:val="24"/>
        </w:rPr>
        <w:t xml:space="preserve">4.5  研究四：行为层的知音共址</w:t>
      </w:r>
    </w:p>
    <w:p>
      <w:pPr>
        <w:spacing w:before="0" w:after="60" w:line="300" w:lineRule="auto"/>
        <w:ind w:firstLine="420" w:firstLineChars="200"/>
        <w:jc w:val="both"/>
      </w:pPr>
      <w:r>
        <w:rPr>
          <w:rFonts w:ascii="Times New Roman" w:hAnsi="Times New Roman" w:eastAsia="宋体" w:cs="Times New Roman"/>
          <w:b w:val="0"/>
          <w:sz w:val="21"/>
        </w:rPr>
        <w:t xml:space="preserve">研究四回到出发点，在第 3.4 节的坐标系与读法下询问：系统能否在行为上与人共址。授权口径 B 下的复测已判为通过，E01 至 E05a 由作者确认为可用停靠，作者一侧的局部共址由此有了正例；剩下的是互认切片 E05b——两位说话人相互接住对方所指的一段对话，金标停靠在互认结点上。与之对照的有两段：E05a 中两位说话人各持一套内容不同的理论；负样本 X01 表面上在谈同一件事，其中一句却只回应了前一句的措辞。</w:t>
      </w:r>
    </w:p>
    <w:p>
      <w:pPr>
        <w:spacing w:before="0" w:after="60" w:line="300" w:lineRule="auto"/>
        <w:ind w:firstLine="420" w:firstLineChars="200"/>
        <w:jc w:val="both"/>
      </w:pPr>
      <w:r>
        <w:rPr>
          <w:rFonts w:ascii="Times New Roman" w:hAnsi="Times New Roman" w:eastAsia="宋体" w:cs="Times New Roman"/>
          <w:b w:val="0"/>
          <w:sz w:val="21"/>
        </w:rPr>
        <w:t xml:space="preserve">第一步排除一条捷径。在提示中加入要求同时停靠两个互认结点的命令后，E05b 的双停靠为 3/3；去掉这一段、其余字节相同的对照为 0/3，与此前按序复测的结果逐项一致。双停靠因此来自命令本身，而不是读者从结构中自发读出了互认。对照还给出一个更深的读数：无论加压与否，E05a 与 X01 都有 3/3 次被吸附到两个互认结点之一（S14 或 S20）上，加压只在两个结点之间挪动位置。负样本上的过触发来自结点释义本身的吸引，而不是提示。E05b 在主干上的定位仍待补，但它已不是主问题：一次可以被命令出来的齐出，回答不了系统是否懂人。</w:t>
      </w:r>
    </w:p>
    <w:p>
      <w:pPr>
        <w:spacing w:before="0" w:after="60" w:line="300" w:lineRule="auto"/>
        <w:ind w:firstLine="420" w:firstLineChars="200"/>
        <w:jc w:val="both"/>
      </w:pPr>
      <w:r>
        <w:rPr>
          <w:rFonts w:ascii="Times New Roman" w:hAnsi="Times New Roman" w:eastAsia="宋体" w:cs="Times New Roman"/>
          <w:b w:val="0"/>
          <w:sz w:val="21"/>
        </w:rPr>
        <w:t xml:space="preserve">第二步不下命令，直接问互认。读者在第二轮既看不到结点释义，也看不到第一轮的定位输出，只被要求找出两人相互接住的那一句、说明两人是否在指同一件事，并判断接住的方式；每锚三次，共 18 次调用。粗筛按事先规则判为不通过：负样本 X01 的互认计数（3/3）不低于 E05b（3/3）。细读给出的图景更有内容。在 E05b 上，读者三次都引出了真正的接话句，引文逐字有效，并说对了两人共同所指的那件事；在 E05a 上，读者三次都判为“不是同一件事”，指出两套理论并置而不相同。这是行为层上最干净的一条正证据：不靠命令，读者能读出两人在内容层站到了同一个地址。失败落在 X01：其中一句是对前一句用词的调侃，属于元语言层的回应，真正抓住所指的是再下一句；读者却把调侃当作接住，并把两句揉成了一个回应。它读到的是两人在谈同一个话题，而没有分清这一句回应的是对方的内容还是对方的说法。三次读法几乎逐字相同，结论稳定，应读作同一位读者读了三遍。</w:t>
      </w:r>
    </w:p>
    <w:p>
      <w:pPr>
        <w:spacing w:before="0" w:after="60" w:line="300" w:lineRule="auto"/>
        <w:ind w:firstLine="420" w:firstLineChars="200"/>
        <w:jc w:val="both"/>
      </w:pPr>
      <w:r>
        <w:rPr>
          <w:rFonts w:ascii="Times New Roman" w:hAnsi="Times New Roman" w:eastAsia="宋体" w:cs="Times New Roman"/>
          <w:b w:val="0"/>
          <w:sz w:val="21"/>
        </w:rPr>
        <w:t xml:space="preserve">第三步把态度层放到真实材料上。材料是作者本人的一场真实群聊，按时间分为前段、中段与后段，连起来是一场完整的对话；作者在读者调用之前写下密封判断，并担任裁判。读者只拿到标为 A、B 的转写，不给主干、释义或标签，也不提示该看什么，只被问两人在哪些地方真的接住了对方、哪些地方没有。条件分为整场与分段两种语境、裸读与带结构两种读者，后者先拿到授权口径 B 的主干作为上下文，共 16 次调用。转写中的文字不在本文出现。</w:t>
      </w:r>
    </w:p>
    <w:p>
      <w:pPr>
        <w:spacing w:before="0" w:after="60" w:line="300" w:lineRule="auto"/>
        <w:ind w:firstLine="420" w:firstLineChars="200"/>
        <w:jc w:val="both"/>
      </w:pPr>
      <w:r>
        <w:rPr>
          <w:rFonts w:ascii="Times New Roman" w:hAnsi="Times New Roman" w:eastAsia="宋体" w:cs="Times New Roman"/>
          <w:b w:val="0"/>
          <w:sz w:val="21"/>
        </w:rPr>
        <w:t xml:space="preserve">读者读出了两件事。在完整语境中，裸读者指出了作者认定的确认瞬间——一方给出理由之后，对方一句时机恰好的「对啊」，前一方随即接着延伸——但把它读成单向的“一方接住了另一方的凭据”，没有读出双方同时在场的那一下。裸读者也读出了后段的空确认：对方几次附和之后换成一个现成的大词，读者判为“表面认同，实质未承接”，与作者“注意力不在”的判断一致。读者漏掉了一件事：中段一方递出的一句对等的关系性类比被对方搁置，作者认定这是后段之前的共址断点；没有读者读到它，断点还被算到了另一方头上。两组对照尤其值得记下。同一读者单读后段时，把同一句空确认判为“深度承接”：空，要看到前面的断才看得出来，这是纯粹的语境效应。带结构的读者则被互认结点释义中“互相确认、接话”的写法牵引，把确认词本身当作接住；在态度层，授权口径 B 的结构是负贡献。</w:t>
      </w:r>
    </w:p>
    <w:p>
      <w:pPr>
        <w:spacing w:before="0" w:after="60" w:line="300" w:lineRule="auto"/>
        <w:ind w:firstLine="420" w:firstLineChars="200"/>
        <w:jc w:val="both"/>
      </w:pPr>
      <w:r>
        <w:rPr>
          <w:rFonts w:ascii="Times New Roman" w:hAnsi="Times New Roman" w:eastAsia="宋体" w:cs="Times New Roman"/>
          <w:b w:val="0"/>
          <w:sz w:val="21"/>
        </w:rPr>
        <w:t xml:space="preserve">第四步只追那个断点。作者在本地补了两枪，都用裸读者、完整语境，每枪三次重复：一枪开放扫描两人各自递出了什么，一枪分别点名问 A 与 B。两枪中，那句在回应的同时递出专属关系的出价，都没有被认作出价（0/3，0/3）；读者列出的“递出”只有观点与隐喻，这一句始终留在“回应”一栏。另一方递出而被搁置的话题，只在开放扫描的 1/3 中被看到。盲点之外的判断在重复之间并不稳定，只有这个盲点稳定复现。读者回答“对得上吗”时是在话题层作答，而它给每个话轮只分配一个角色：要么是递出，要么是回应。一句话同时是回应与新的出价——作者所说的新的协变同节点标志——因此落在它的盲区里。作者决定在这里收住，不再改探针，也不做说话人对调，把这一盲点作为动作边界的实证写入本文（第 5.5 节）。表 5 汇总了各层的读出状态。</w:t>
      </w:r>
    </w:p>
    <w:p>
      <w:pPr>
        <w:keepNext/>
        <w:spacing w:before="120" w:after="60" w:line="276" w:lineRule="auto"/>
        <w:ind w:firstLine="0" w:firstLineChars="0"/>
        <w:jc w:val="center"/>
      </w:pPr>
      <w:bookmarkStart w:id="47" w:name="tbl5"/>
      <w:r>
        <w:rPr>
          <w:rFonts w:ascii="Times New Roman" w:hAnsi="Times New Roman" w:eastAsia="宋体" w:cs="Times New Roman"/>
          <w:b/>
          <w:sz w:val="18"/>
        </w:rPr>
        <w:t>表 5  行为层共址各层的读出状态</w:t>
      </w:r>
      <w:bookmarkEnd w:id="47"/>
    </w:p>
    <w:tbl>
      <w:tblPr>
        <w:tblStyle w:val="32"/>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250"/>
        <w:gridCol w:w="2150"/>
        <w:gridCol w:w="3800"/>
        <w:gridCol w:w="1303"/>
      </w:tblGrid>
      <w:tr>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1250" w:type="dxa"/>
            <w:tcBorders>
              <w:top w:val="nil"/>
              <w:left w:val="nil"/>
              <w:bottom w:val="single" w:color="000000" w:sz="6" w:space="0"/>
              <w:right w:val="nil"/>
            </w:tcBorders>
          </w:tcPr>
          <w:p>
            <w:pPr>
              <w:keepNext/>
              <w:spacing w:before="40" w:after="40" w:line="240" w:lineRule="auto"/>
              <w:ind w:firstLine="0" w:firstLineChars="0"/>
              <w:jc w:val="left"/>
            </w:pPr>
            <w:r>
              <w:rPr>
                <w:rFonts w:ascii="Times New Roman" w:hAnsi="Times New Roman" w:eastAsia="宋体" w:cs="Times New Roman"/>
                <w:b/>
                <w:sz w:val="18"/>
              </w:rPr>
              <w:t>层</w:t>
            </w:r>
          </w:p>
        </w:tc>
        <w:tc>
          <w:tcPr>
            <w:tcW w:w="2150" w:type="dxa"/>
            <w:tcBorders>
              <w:top w:val="nil"/>
              <w:left w:val="nil"/>
              <w:bottom w:val="single" w:color="000000" w:sz="6" w:space="0"/>
              <w:right w:val="nil"/>
            </w:tcBorders>
          </w:tcPr>
          <w:p>
            <w:pPr>
              <w:keepNext/>
              <w:spacing w:before="40" w:after="40" w:line="240" w:lineRule="auto"/>
              <w:ind w:firstLine="0" w:firstLineChars="0"/>
              <w:jc w:val="center"/>
            </w:pPr>
            <w:r>
              <w:rPr>
                <w:rFonts w:ascii="Times New Roman" w:hAnsi="Times New Roman" w:eastAsia="宋体" w:cs="Times New Roman"/>
                <w:b/>
                <w:sz w:val="18"/>
              </w:rPr>
              <w:t>所问</w:t>
            </w:r>
          </w:p>
        </w:tc>
        <w:tc>
          <w:tcPr>
            <w:tcW w:w="3800" w:type="dxa"/>
            <w:tcBorders>
              <w:top w:val="nil"/>
              <w:left w:val="nil"/>
              <w:bottom w:val="single" w:color="000000" w:sz="6" w:space="0"/>
              <w:right w:val="nil"/>
            </w:tcBorders>
          </w:tcPr>
          <w:p>
            <w:pPr>
              <w:keepNext/>
              <w:spacing w:before="40" w:after="40" w:line="240" w:lineRule="auto"/>
              <w:ind w:firstLine="0" w:firstLineChars="0"/>
              <w:jc w:val="center"/>
            </w:pPr>
            <w:r>
              <w:rPr>
                <w:rFonts w:ascii="Times New Roman" w:hAnsi="Times New Roman" w:eastAsia="宋体" w:cs="Times New Roman"/>
                <w:b/>
                <w:sz w:val="18"/>
              </w:rPr>
              <w:t>读者的表现</w:t>
            </w:r>
          </w:p>
        </w:tc>
        <w:tc>
          <w:tcPr>
            <w:tcW w:w="1303" w:type="dxa"/>
            <w:tcBorders>
              <w:top w:val="nil"/>
              <w:left w:val="nil"/>
              <w:bottom w:val="single" w:color="000000" w:sz="6" w:space="0"/>
              <w:right w:val="nil"/>
            </w:tcBorders>
          </w:tcPr>
          <w:p>
            <w:pPr>
              <w:keepNext/>
              <w:spacing w:before="40" w:after="40" w:line="240" w:lineRule="auto"/>
              <w:ind w:firstLine="0" w:firstLineChars="0"/>
              <w:jc w:val="center"/>
            </w:pPr>
            <w:r>
              <w:rPr>
                <w:rFonts w:ascii="Times New Roman" w:hAnsi="Times New Roman" w:eastAsia="宋体" w:cs="Times New Roman"/>
                <w:b/>
                <w:sz w:val="18"/>
              </w:rPr>
              <w:t>来源</w:t>
            </w:r>
          </w:p>
        </w:tc>
      </w:tr>
      <w:tr>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50" w:type="dxa"/>
          </w:tcPr>
          <w:p>
            <w:pPr>
              <w:keepNext/>
              <w:spacing w:before="40" w:after="40" w:line="240" w:lineRule="auto"/>
              <w:ind w:firstLine="0" w:firstLineChars="0"/>
              <w:jc w:val="left"/>
            </w:pPr>
            <w:r>
              <w:rPr>
                <w:rFonts w:ascii="Times New Roman" w:hAnsi="Times New Roman" w:eastAsia="宋体" w:cs="Times New Roman"/>
                <w:b w:val="0"/>
                <w:sz w:val="18"/>
              </w:rPr>
              <w:t>话题层</w:t>
            </w:r>
          </w:p>
        </w:tc>
        <w:tc>
          <w:tcPr>
            <w:tcW w:w="2150" w:type="dxa"/>
          </w:tcPr>
          <w:p>
            <w:pPr>
              <w:keepNext/>
              <w:spacing w:before="40" w:after="40" w:line="240" w:lineRule="auto"/>
              <w:ind w:firstLine="0" w:firstLineChars="0"/>
              <w:jc w:val="center"/>
            </w:pPr>
            <w:r>
              <w:rPr>
                <w:rFonts w:ascii="Times New Roman" w:hAnsi="Times New Roman" w:eastAsia="宋体" w:cs="Times New Roman"/>
                <w:b w:val="0"/>
                <w:sz w:val="18"/>
              </w:rPr>
              <w:t>两人是否在谈同一件事</w:t>
            </w:r>
          </w:p>
        </w:tc>
        <w:tc>
          <w:tcPr>
            <w:tcW w:w="3800" w:type="dxa"/>
          </w:tcPr>
          <w:p>
            <w:pPr>
              <w:keepNext/>
              <w:spacing w:before="40" w:after="40" w:line="240" w:lineRule="auto"/>
              <w:ind w:firstLine="0" w:firstLineChars="0"/>
              <w:jc w:val="center"/>
            </w:pPr>
            <w:r>
              <w:rPr>
                <w:rFonts w:ascii="Times New Roman" w:hAnsi="Times New Roman" w:eastAsia="宋体" w:cs="Times New Roman"/>
                <w:b w:val="0"/>
                <w:sz w:val="18"/>
              </w:rPr>
              <w:t>稳定读出；也会把它误当作承接</w:t>
            </w:r>
          </w:p>
        </w:tc>
        <w:tc>
          <w:tcPr>
            <w:tcW w:w="1303" w:type="dxa"/>
          </w:tcPr>
          <w:p>
            <w:pPr>
              <w:keepNext/>
              <w:spacing w:before="40" w:after="40" w:line="240" w:lineRule="auto"/>
              <w:ind w:firstLine="0" w:firstLineChars="0"/>
              <w:jc w:val="center"/>
            </w:pPr>
            <w:r>
              <w:rPr>
                <w:rFonts w:ascii="Times New Roman" w:hAnsi="Times New Roman" w:eastAsia="宋体" w:cs="Times New Roman"/>
                <w:b w:val="0"/>
                <w:sz w:val="18"/>
              </w:rPr>
              <w:t>Arm-C X01；冷读</w:t>
            </w:r>
          </w:p>
        </w:tc>
      </w:tr>
      <w:tr>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50" w:type="dxa"/>
          </w:tcPr>
          <w:p>
            <w:pPr>
              <w:keepNext/>
              <w:spacing w:before="40" w:after="40" w:line="240" w:lineRule="auto"/>
              <w:ind w:firstLine="0" w:firstLineChars="0"/>
              <w:jc w:val="left"/>
            </w:pPr>
            <w:r>
              <w:rPr>
                <w:rFonts w:ascii="Times New Roman" w:hAnsi="Times New Roman" w:eastAsia="宋体" w:cs="Times New Roman"/>
                <w:b w:val="0"/>
                <w:sz w:val="18"/>
              </w:rPr>
              <w:t>内容层</w:t>
            </w:r>
          </w:p>
        </w:tc>
        <w:tc>
          <w:tcPr>
            <w:tcW w:w="2150" w:type="dxa"/>
          </w:tcPr>
          <w:p>
            <w:pPr>
              <w:keepNext/>
              <w:spacing w:before="40" w:after="40" w:line="240" w:lineRule="auto"/>
              <w:ind w:firstLine="0" w:firstLineChars="0"/>
              <w:jc w:val="center"/>
            </w:pPr>
            <w:r>
              <w:rPr>
                <w:rFonts w:ascii="Times New Roman" w:hAnsi="Times New Roman" w:eastAsia="宋体" w:cs="Times New Roman"/>
                <w:b w:val="0"/>
                <w:sz w:val="18"/>
              </w:rPr>
              <w:t>后一句是否接住前一句的所指</w:t>
            </w:r>
          </w:p>
        </w:tc>
        <w:tc>
          <w:tcPr>
            <w:tcW w:w="3800" w:type="dxa"/>
          </w:tcPr>
          <w:p>
            <w:pPr>
              <w:keepNext/>
              <w:spacing w:before="40" w:after="40" w:line="240" w:lineRule="auto"/>
              <w:ind w:firstLine="0" w:firstLineChars="0"/>
              <w:jc w:val="center"/>
            </w:pPr>
            <w:r>
              <w:rPr>
                <w:rFonts w:ascii="Times New Roman" w:hAnsi="Times New Roman" w:eastAsia="宋体" w:cs="Times New Roman"/>
                <w:b w:val="0"/>
                <w:sz w:val="18"/>
              </w:rPr>
              <w:t>不下命令即引出并读对（3/3）；内容不同的对照被分开（3/3）</w:t>
            </w:r>
          </w:p>
        </w:tc>
        <w:tc>
          <w:tcPr>
            <w:tcW w:w="1303" w:type="dxa"/>
          </w:tcPr>
          <w:p>
            <w:pPr>
              <w:keepNext/>
              <w:spacing w:before="40" w:after="40" w:line="240" w:lineRule="auto"/>
              <w:ind w:firstLine="0" w:firstLineChars="0"/>
              <w:jc w:val="center"/>
            </w:pPr>
            <w:r>
              <w:rPr>
                <w:rFonts w:ascii="Times New Roman" w:hAnsi="Times New Roman" w:eastAsia="宋体" w:cs="Times New Roman"/>
                <w:b w:val="0"/>
                <w:sz w:val="18"/>
              </w:rPr>
              <w:t>Arm-C E05b、E05a</w:t>
            </w:r>
          </w:p>
        </w:tc>
      </w:tr>
      <w:tr>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50" w:type="dxa"/>
          </w:tcPr>
          <w:p>
            <w:pPr>
              <w:keepNext/>
              <w:spacing w:before="40" w:after="40" w:line="240" w:lineRule="auto"/>
              <w:ind w:firstLine="0" w:firstLineChars="0"/>
              <w:jc w:val="left"/>
            </w:pPr>
            <w:r>
              <w:rPr>
                <w:rFonts w:ascii="Times New Roman" w:hAnsi="Times New Roman" w:eastAsia="宋体" w:cs="Times New Roman"/>
                <w:b w:val="0"/>
                <w:sz w:val="18"/>
              </w:rPr>
              <w:t>命令加压</w:t>
            </w:r>
          </w:p>
        </w:tc>
        <w:tc>
          <w:tcPr>
            <w:tcW w:w="2150" w:type="dxa"/>
          </w:tcPr>
          <w:p>
            <w:pPr>
              <w:keepNext/>
              <w:spacing w:before="40" w:after="40" w:line="240" w:lineRule="auto"/>
              <w:ind w:firstLine="0" w:firstLineChars="0"/>
              <w:jc w:val="center"/>
            </w:pPr>
            <w:r>
              <w:rPr>
                <w:rFonts w:ascii="Times New Roman" w:hAnsi="Times New Roman" w:eastAsia="宋体" w:cs="Times New Roman"/>
                <w:b w:val="0"/>
                <w:sz w:val="18"/>
              </w:rPr>
              <w:t>双停靠是否自发</w:t>
            </w:r>
          </w:p>
        </w:tc>
        <w:tc>
          <w:tcPr>
            <w:tcW w:w="3800" w:type="dxa"/>
          </w:tcPr>
          <w:p>
            <w:pPr>
              <w:keepNext/>
              <w:spacing w:before="40" w:after="40" w:line="240" w:lineRule="auto"/>
              <w:ind w:firstLine="0" w:firstLineChars="0"/>
              <w:jc w:val="center"/>
            </w:pPr>
            <w:r>
              <w:rPr>
                <w:rFonts w:ascii="Times New Roman" w:hAnsi="Times New Roman" w:eastAsia="宋体" w:cs="Times New Roman"/>
                <w:b w:val="0"/>
                <w:sz w:val="18"/>
              </w:rPr>
              <w:t>对照 0/3，加压 3/3：来自命令；负样本 3/3 被释义吸附</w:t>
            </w:r>
          </w:p>
        </w:tc>
        <w:tc>
          <w:tcPr>
            <w:tcW w:w="1303" w:type="dxa"/>
          </w:tcPr>
          <w:p>
            <w:pPr>
              <w:keepNext/>
              <w:spacing w:before="40" w:after="40" w:line="240" w:lineRule="auto"/>
              <w:ind w:firstLine="0" w:firstLineChars="0"/>
              <w:jc w:val="center"/>
            </w:pPr>
            <w:r>
              <w:rPr>
                <w:rFonts w:ascii="Times New Roman" w:hAnsi="Times New Roman" w:eastAsia="宋体" w:cs="Times New Roman"/>
                <w:b w:val="0"/>
                <w:sz w:val="18"/>
              </w:rPr>
              <w:t>双停靠对照</w:t>
            </w:r>
          </w:p>
        </w:tc>
      </w:tr>
      <w:tr>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50" w:type="dxa"/>
          </w:tcPr>
          <w:p>
            <w:pPr>
              <w:keepNext/>
              <w:spacing w:before="40" w:after="40" w:line="240" w:lineRule="auto"/>
              <w:ind w:firstLine="0" w:firstLineChars="0"/>
              <w:jc w:val="left"/>
            </w:pPr>
            <w:r>
              <w:rPr>
                <w:rFonts w:ascii="Times New Roman" w:hAnsi="Times New Roman" w:eastAsia="宋体" w:cs="Times New Roman"/>
                <w:b w:val="0"/>
                <w:sz w:val="18"/>
              </w:rPr>
              <w:t>态度层</w:t>
            </w:r>
          </w:p>
        </w:tc>
        <w:tc>
          <w:tcPr>
            <w:tcW w:w="2150" w:type="dxa"/>
          </w:tcPr>
          <w:p>
            <w:pPr>
              <w:keepNext/>
              <w:spacing w:before="40" w:after="40" w:line="240" w:lineRule="auto"/>
              <w:ind w:firstLine="0" w:firstLineChars="0"/>
              <w:jc w:val="center"/>
            </w:pPr>
            <w:r>
              <w:rPr>
                <w:rFonts w:ascii="Times New Roman" w:hAnsi="Times New Roman" w:eastAsia="宋体" w:cs="Times New Roman"/>
                <w:b w:val="0"/>
                <w:sz w:val="18"/>
              </w:rPr>
              <w:t>回应的是内容还是说法</w:t>
            </w:r>
          </w:p>
        </w:tc>
        <w:tc>
          <w:tcPr>
            <w:tcW w:w="3800" w:type="dxa"/>
          </w:tcPr>
          <w:p>
            <w:pPr>
              <w:keepNext/>
              <w:spacing w:before="40" w:after="40" w:line="240" w:lineRule="auto"/>
              <w:ind w:firstLine="0" w:firstLineChars="0"/>
              <w:jc w:val="center"/>
            </w:pPr>
            <w:r>
              <w:rPr>
                <w:rFonts w:ascii="Times New Roman" w:hAnsi="Times New Roman" w:eastAsia="宋体" w:cs="Times New Roman"/>
                <w:b w:val="0"/>
                <w:sz w:val="18"/>
              </w:rPr>
              <w:t>把调侃当作接住；带结构的读者把确认词当作接住</w:t>
            </w:r>
          </w:p>
        </w:tc>
        <w:tc>
          <w:tcPr>
            <w:tcW w:w="1303" w:type="dxa"/>
          </w:tcPr>
          <w:p>
            <w:pPr>
              <w:keepNext/>
              <w:spacing w:before="40" w:after="40" w:line="240" w:lineRule="auto"/>
              <w:ind w:firstLine="0" w:firstLineChars="0"/>
              <w:jc w:val="center"/>
            </w:pPr>
            <w:r>
              <w:rPr>
                <w:rFonts w:ascii="Times New Roman" w:hAnsi="Times New Roman" w:eastAsia="宋体" w:cs="Times New Roman"/>
                <w:b w:val="0"/>
                <w:sz w:val="18"/>
              </w:rPr>
              <w:t>Arm-C X01；冷读</w:t>
            </w:r>
          </w:p>
        </w:tc>
      </w:tr>
      <w:tr>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50" w:type="dxa"/>
          </w:tcPr>
          <w:p>
            <w:pPr>
              <w:keepNext/>
              <w:spacing w:before="40" w:after="40" w:line="240" w:lineRule="auto"/>
              <w:ind w:firstLine="0" w:firstLineChars="0"/>
              <w:jc w:val="left"/>
            </w:pPr>
            <w:r>
              <w:rPr>
                <w:rFonts w:ascii="Times New Roman" w:hAnsi="Times New Roman" w:eastAsia="宋体" w:cs="Times New Roman"/>
                <w:b w:val="0"/>
                <w:sz w:val="18"/>
              </w:rPr>
              <w:t>确认瞬间</w:t>
            </w:r>
          </w:p>
        </w:tc>
        <w:tc>
          <w:tcPr>
            <w:tcW w:w="2150" w:type="dxa"/>
          </w:tcPr>
          <w:p>
            <w:pPr>
              <w:keepNext/>
              <w:spacing w:before="40" w:after="40" w:line="240" w:lineRule="auto"/>
              <w:ind w:firstLine="0" w:firstLineChars="0"/>
              <w:jc w:val="center"/>
            </w:pPr>
            <w:r>
              <w:rPr>
                <w:rFonts w:ascii="Times New Roman" w:hAnsi="Times New Roman" w:eastAsia="宋体" w:cs="Times New Roman"/>
                <w:b w:val="0"/>
                <w:sz w:val="18"/>
              </w:rPr>
              <w:t>哪一下让双方共在</w:t>
            </w:r>
          </w:p>
        </w:tc>
        <w:tc>
          <w:tcPr>
            <w:tcW w:w="3800" w:type="dxa"/>
          </w:tcPr>
          <w:p>
            <w:pPr>
              <w:keepNext/>
              <w:spacing w:before="40" w:after="40" w:line="240" w:lineRule="auto"/>
              <w:ind w:firstLine="0" w:firstLineChars="0"/>
              <w:jc w:val="center"/>
            </w:pPr>
            <w:r>
              <w:rPr>
                <w:rFonts w:ascii="Times New Roman" w:hAnsi="Times New Roman" w:eastAsia="宋体" w:cs="Times New Roman"/>
                <w:b w:val="0"/>
                <w:sz w:val="18"/>
              </w:rPr>
              <w:t>完整语境中读出确认，但读成单向；单读时判断反转</w:t>
            </w:r>
          </w:p>
        </w:tc>
        <w:tc>
          <w:tcPr>
            <w:tcW w:w="1303" w:type="dxa"/>
          </w:tcPr>
          <w:p>
            <w:pPr>
              <w:keepNext/>
              <w:spacing w:before="40" w:after="40" w:line="240" w:lineRule="auto"/>
              <w:ind w:firstLine="0" w:firstLineChars="0"/>
              <w:jc w:val="center"/>
            </w:pPr>
            <w:r>
              <w:rPr>
                <w:rFonts w:ascii="Times New Roman" w:hAnsi="Times New Roman" w:eastAsia="宋体" w:cs="Times New Roman"/>
                <w:b w:val="0"/>
                <w:sz w:val="18"/>
              </w:rPr>
              <w:t>真实对话冷读</w:t>
            </w:r>
          </w:p>
        </w:tc>
      </w:tr>
      <w:tr>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1250" w:type="dxa"/>
          </w:tcPr>
          <w:p>
            <w:pPr>
              <w:spacing w:before="40" w:after="40" w:line="240" w:lineRule="auto"/>
              <w:ind w:firstLine="0" w:firstLineChars="0"/>
              <w:jc w:val="left"/>
            </w:pPr>
            <w:r>
              <w:rPr>
                <w:rFonts w:ascii="Times New Roman" w:hAnsi="Times New Roman" w:eastAsia="宋体" w:cs="Times New Roman"/>
                <w:b w:val="0"/>
                <w:sz w:val="18"/>
              </w:rPr>
              <w:t>双功能话轮</w:t>
            </w:r>
          </w:p>
        </w:tc>
        <w:tc>
          <w:tcPr>
            <w:tcW w:w="2150" w:type="dxa"/>
          </w:tcPr>
          <w:p>
            <w:pPr>
              <w:spacing w:before="40" w:after="40" w:line="240" w:lineRule="auto"/>
              <w:ind w:firstLine="0" w:firstLineChars="0"/>
              <w:jc w:val="center"/>
            </w:pPr>
            <w:r>
              <w:rPr>
                <w:rFonts w:ascii="Times New Roman" w:hAnsi="Times New Roman" w:eastAsia="宋体" w:cs="Times New Roman"/>
                <w:b w:val="0"/>
                <w:sz w:val="18"/>
              </w:rPr>
              <w:t>回复是否同时递出新地址</w:t>
            </w:r>
          </w:p>
        </w:tc>
        <w:tc>
          <w:tcPr>
            <w:tcW w:w="3800" w:type="dxa"/>
          </w:tcPr>
          <w:p>
            <w:pPr>
              <w:spacing w:before="40" w:after="40" w:line="240" w:lineRule="auto"/>
              <w:ind w:firstLine="0" w:firstLineChars="0"/>
              <w:jc w:val="center"/>
            </w:pPr>
            <w:r>
              <w:rPr>
                <w:rFonts w:ascii="Times New Roman" w:hAnsi="Times New Roman" w:eastAsia="宋体" w:cs="Times New Roman"/>
                <w:b w:val="0"/>
                <w:sz w:val="18"/>
              </w:rPr>
              <w:t>0/3，0/3；每个话轮只分一个角色</w:t>
            </w:r>
          </w:p>
        </w:tc>
        <w:tc>
          <w:tcPr>
            <w:tcW w:w="1303" w:type="dxa"/>
          </w:tcPr>
          <w:p>
            <w:pPr>
              <w:spacing w:before="40" w:after="40" w:line="240" w:lineRule="auto"/>
              <w:ind w:firstLine="0" w:firstLineChars="0"/>
              <w:jc w:val="center"/>
            </w:pPr>
            <w:r>
              <w:rPr>
                <w:rFonts w:ascii="Times New Roman" w:hAnsi="Times New Roman" w:eastAsia="宋体" w:cs="Times New Roman"/>
                <w:b w:val="0"/>
                <w:sz w:val="18"/>
              </w:rPr>
              <w:t>出价两枪</w:t>
            </w:r>
          </w:p>
        </w:tc>
      </w:tr>
    </w:tbl>
    <w:p>
      <w:pPr>
        <w:spacing w:before="60" w:after="160" w:line="276" w:lineRule="auto"/>
        <w:ind w:firstLine="0" w:firstLineChars="0"/>
        <w:jc w:val="left"/>
      </w:pPr>
      <w:r>
        <w:rPr>
          <w:rFonts w:ascii="Times New Roman" w:hAnsi="Times New Roman" w:eastAsia="宋体"/>
          <w:sz w:val="18"/>
        </w:rPr>
        <w:t xml:space="preserve">注：计数只作粗筛，每格结论以逐句理由的细读为准；同一读者的三次重复不作独立样本。真实对话只作抽象描述，转写与原始读数不入公开仓库。</w:t>
      </w:r>
    </w:p>
    <w:p>
      <w:pPr>
        <w:spacing w:before="0" w:after="60" w:line="300" w:lineRule="auto"/>
        <w:ind w:firstLine="420" w:firstLineChars="200"/>
        <w:jc w:val="both"/>
      </w:pPr>
      <w:r>
        <w:rPr>
          <w:rFonts w:ascii="Times New Roman" w:hAnsi="Times New Roman" w:eastAsia="宋体" w:cs="Times New Roman"/>
          <w:b w:val="0"/>
          <w:sz w:val="21"/>
        </w:rPr>
        <w:t xml:space="preserve">按第 3.4 节的判据归纳研究四：内容层的共址在这一切片上已经在行为上立住；命令加压下的齐出被归还给命令；态度层是还开着的缺口，而在真实对话上，这个缺口收窄为一个具体的位置——回复兼出价的双功能话轮。这一层正是从懂话题走到懂人的那一步。</w:t>
      </w:r>
    </w:p>
    <w:p w14:paraId="2593F808">
      <w:pPr>
        <w:spacing w:before="240" w:after="120" w:line="300" w:lineRule="auto"/>
        <w:ind w:firstLine="0" w:firstLineChars="0"/>
        <w:jc w:val="left"/>
      </w:pPr>
      <w:r>
        <w:rPr>
          <w:rFonts w:ascii="Times New Roman" w:hAnsi="Times New Roman" w:eastAsia="黑体" w:cs="Times New Roman"/>
          <w:b/>
          <w:sz w:val="28"/>
        </w:rPr>
        <w:t>5  讨论</w:t>
      </w:r>
    </w:p>
    <w:p w14:paraId="5F8E5446">
      <w:pPr>
        <w:spacing w:before="180" w:after="80" w:line="300" w:lineRule="auto"/>
        <w:ind w:firstLine="0" w:firstLineChars="0"/>
        <w:jc w:val="left"/>
      </w:pPr>
      <w:r>
        <w:rPr>
          <w:rFonts w:ascii="Times New Roman" w:hAnsi="Times New Roman" w:eastAsia="黑体" w:cs="Times New Roman"/>
          <w:b/>
          <w:sz w:val="24"/>
        </w:rPr>
        <w:t>5.1  有限阳性的含义</w:t>
      </w:r>
    </w:p>
    <w:p w14:paraId="17D29040">
      <w:pPr>
        <w:spacing w:before="0" w:after="60" w:line="300" w:lineRule="auto"/>
        <w:ind w:firstLine="420" w:firstLineChars="200"/>
        <w:jc w:val="both"/>
      </w:pPr>
      <w:r>
        <w:rPr>
          <w:rFonts w:ascii="Times New Roman" w:hAnsi="Times New Roman" w:eastAsia="宋体" w:cs="Times New Roman"/>
          <w:b w:val="0"/>
          <w:sz w:val="21"/>
        </w:rPr>
        <w:t>在本文的验收协议下，玩具切换任务给出了有限的阳性：通用门控结构配合仅含世界回报的梯度学习，可以在 8 个科学种子上通过包括写通道特异性在内的全部准则。这一结果的价值不在于点估计本身——8 个种子的 Wilson 区间下限仅为 0.676——而在于它是在判决标准冻结、无效种子计入分母、对照条件齐备的情况下取得的。指定寄存器的 7/8 表明这些准则并非无法满足的空集，无记忆基线的 0/8 表明任务确实要求跨时间的信息；两者共同把门控网络的通过限定为一个有区分力的判决，而不是标准过松或过严的产物。</w:t>
      </w:r>
    </w:p>
    <w:p w14:paraId="4DA66B5F">
      <w:pPr>
        <w:spacing w:before="0" w:after="60" w:line="300" w:lineRule="auto"/>
        <w:ind w:firstLine="420" w:firstLineChars="200"/>
        <w:jc w:val="both"/>
      </w:pPr>
      <w:r>
        <w:rPr>
          <w:rFonts w:ascii="Times New Roman" w:hAnsi="Times New Roman" w:eastAsia="宋体" w:cs="Times New Roman"/>
          <w:b w:val="0"/>
          <w:sz w:val="21"/>
        </w:rPr>
        <w:t>同样需要看到这一阳性所依赖的条件。门控结构本身是设计者提供的先验，相关文献早已表明它有利于长程依赖的学习</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；因此，阳性所证明的是在这一先验之下，世界回报足以使网络形成可被干预的目标表征，而不是网络在没有结构先验时发展出了这种表征。无门网络在有限搜索后的 0/8 与进化策略在主任务上的 4/8，进一步表明结论对结构与优化器都较为敏感。这些对照提供的是边界而非否证：它们刻画了阳性在何处成立、在何处尚未成立，却不能据此推断无门结构或进化方法在更大搜索空间或预算下的表现。</w:t>
      </w:r>
    </w:p>
    <w:p w14:paraId="62F45495">
      <w:pPr>
        <w:spacing w:before="0" w:after="60" w:line="300" w:lineRule="auto"/>
        <w:ind w:firstLine="420" w:firstLineChars="200"/>
        <w:jc w:val="both"/>
      </w:pPr>
      <w:r>
        <w:rPr>
          <w:rFonts w:ascii="Times New Roman" w:hAnsi="Times New Roman" w:eastAsia="宋体" w:cs="Times New Roman"/>
          <w:b w:val="0"/>
          <w:sz w:val="21"/>
        </w:rPr>
        <w:t>从方法学角度看，协议的作用还体现在对实现缺陷的暴露上。本研究先后发现三处足以翻转结论的实现错误：回报尺度未经标准化、进化策略的更新步长偏小，以及最优个体在参数更新之后才重建。若没有指定寄存器这一阳性对照和简单任务上的可满足性检查，这些缺陷所产生的阴性很容易被读作“教师信号必要”或“进化方法无效”一类原理性结论。深度强化学习复现研究所揭示的实现敏感性</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此得到了具体印证：阳性对照确认标准可被满足，阴性基线确认任务确需记忆，二者共同使一次失败首先被追问为实现问题，而不是直接归因于方法或结构。这也是本文把协议而非某一项单独结果作为主要贡献的理由。</w:t>
      </w:r>
    </w:p>
    <w:p w14:paraId="2BA7AEF3">
      <w:pPr>
        <w:spacing w:before="180" w:after="80" w:line="300" w:lineRule="auto"/>
        <w:ind w:firstLine="0" w:firstLineChars="0"/>
        <w:jc w:val="left"/>
      </w:pPr>
      <w:r>
        <w:rPr>
          <w:rFonts w:ascii="Times New Roman" w:hAnsi="Times New Roman" w:eastAsia="黑体" w:cs="Times New Roman"/>
          <w:b/>
          <w:sz w:val="24"/>
        </w:rPr>
        <w:t>5.2  从玩具任务到加压网格：特异性与目标自主的距离</w:t>
      </w:r>
    </w:p>
    <w:p w14:paraId="16D96380">
      <w:pPr>
        <w:spacing w:before="0" w:after="60" w:line="300" w:lineRule="auto"/>
        <w:ind w:firstLine="420" w:firstLineChars="200"/>
        <w:jc w:val="both"/>
      </w:pPr>
      <w:r>
        <w:rPr>
          <w:rFonts w:ascii="Times New Roman" w:hAnsi="Times New Roman" w:eastAsia="宋体" w:cs="Times New Roman"/>
          <w:b w:val="0"/>
          <w:sz w:val="21"/>
        </w:rPr>
        <w:t>加压网格之所以被引入，是因为原网格不足以区分有无记忆的策略：在原网格上，无需进化即可计算的必要性指数只有 0.465（95% 区间 [0.425, 0.500]），低于玩具任务的 0.731，而在每个条件只评估 12 局时，阈值判决主要由噪声决定。加压版本因此作了三处改动：采食错误资源计入毒性代价（系数 2.5），导航控制器冻结，评估局数增至 100。改动后必要性指数为 3.481（[3.250, 3.753]），无记忆策略的回报为负；手写门控策略与无记忆策略的回报区间互不重叠；写通道检验在 12 个已知为真的对照体上全部判为真，在四类构造的假对照体上各为 0/12，而旧版检验曾在这些假对照上误判 2/12 至 10/12。指定寄存器随后以 8/8 通过。由此，门控学习规则在该环境中的失败不能归因于环境缺乏记忆压力，也不能归因于检验本身失灵。</w:t>
      </w:r>
    </w:p>
    <w:p w14:paraId="20887464">
      <w:pPr>
        <w:spacing w:before="0" w:after="60" w:line="300" w:lineRule="auto"/>
        <w:ind w:firstLine="420" w:firstLineChars="200"/>
        <w:jc w:val="both"/>
      </w:pPr>
      <w:r>
        <w:rPr>
          <w:rFonts w:ascii="Times New Roman" w:hAnsi="Times New Roman" w:eastAsia="宋体" w:cs="Times New Roman"/>
          <w:b w:val="0"/>
          <w:sz w:val="21"/>
        </w:rPr>
        <w:t>在这一前提下，失败的结构更值得注意。追加预算的实验中，解码、翻转与撤除后保持在 8 个种子上全部过线，失败集中在写通道的特异性上。以错误目标钉扎引起的错误资源占比上升衡量，通过的种子在连续线索下的效应远小于稀疏线索（种子 200、205、212 分别为 0.000、0.194、0.017，对应稀疏条件下的 0.627、0.666、0.642）；210、211 与 218 三个种子在连续线索下的效应为 0.340、0.379 与 0.341，均超过稀疏条件（0.679、0.639、0.652）的一半，其中 210 只以微小差距超出。也就是说，这些网络会写入目标，却在线索持续可见时仍让内部状态主导行为。仅以解码准确率衡量目标表征，在这一环境中会得出过于乐观的结论；协议把读出与使用分开检验，其必要性在此得到体现。</w:t>
      </w:r>
    </w:p>
    <w:p w14:paraId="45FBB53E">
      <w:pPr>
        <w:spacing w:before="0" w:after="60" w:line="300" w:lineRule="auto"/>
        <w:ind w:firstLine="420" w:firstLineChars="200"/>
        <w:jc w:val="both"/>
      </w:pPr>
      <w:r>
        <w:rPr>
          <w:rFonts w:ascii="Times New Roman" w:hAnsi="Times New Roman" w:eastAsia="宋体" w:cs="Times New Roman"/>
          <w:b w:val="0"/>
          <w:sz w:val="21"/>
        </w:rPr>
        <w:t>为判断这类失败属于训练不足还是结构上的局限，追加预算实验在运行前写定了互斥的判决路径：若在预算上限内组通过达到 7/8，判为效率问题；若仍低于组门、指定寄存器保持完好、且非无效失败种子中半数以上呈现“定向成立而特异性不成立”，判为该上限内的结构瓶颈候选；若失败不以这一模式为主，则判为不定。超参数只在调参种子上选择，验收阈值不得为过门而放宽。实际结果为 3/8，5 个失败种子中 3 个符合特异性模式，判决落入结构路径。与追加预算之前相比，撤除保持的失败由 3/8 降为 0/8，回报准则仍有 3 个种子未过：追加预算消除了保持上的缺陷，却没有消除特异性上的缺陷。216 与 219 的失败与特异性无关，因此该判决只能表述为以特异性失败为主的混合模式。</w:t>
      </w:r>
    </w:p>
    <w:p w14:paraId="121A50F9">
      <w:pPr>
        <w:spacing w:before="0" w:after="60" w:line="300" w:lineRule="auto"/>
        <w:ind w:firstLine="420" w:firstLineChars="200"/>
        <w:jc w:val="both"/>
      </w:pPr>
      <w:r>
        <w:rPr>
          <w:rFonts w:ascii="Times New Roman" w:hAnsi="Times New Roman" w:eastAsia="宋体" w:cs="Times New Roman"/>
          <w:b w:val="0"/>
          <w:sz w:val="21"/>
        </w:rPr>
        <w:t>解读这一结果时还需注意测试条件与训练条件的差异。训练中线索只在切换时刻出现，线索每步可见的条件只用于验收诊断，并未进入训练分布。特异性失败因此表明：在训练中从未遇到冗余线索的网络，没有自发形成“线索可得时减少对内部状态的依赖”这种调节。它可能反映结构上的局限，也可能部分源于这一分布差异；本文的预注册不区分这两种来源，这是特异性失败只被记为结构瓶颈候选、而非结构定理的另一原因。</w:t>
      </w:r>
    </w:p>
    <w:p w14:paraId="48DB1F01">
      <w:pPr>
        <w:spacing w:before="0" w:after="60" w:line="300" w:lineRule="auto"/>
        <w:ind w:firstLine="420" w:firstLineChars="200"/>
        <w:jc w:val="both"/>
      </w:pPr>
      <w:r>
        <w:rPr>
          <w:rFonts w:ascii="Times New Roman" w:hAnsi="Times New Roman" w:eastAsia="宋体" w:cs="Times New Roman"/>
          <w:b w:val="0"/>
          <w:sz w:val="21"/>
        </w:rPr>
        <w:t>自生成目标要求目标集合或目标内容由学习过程产生，而不是由当前线索指定</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本文的环境线索始终指定“现在应追求哪一个目标”，网络学习的是保持与因果使用；即便在玩具任务上通过了组门，所覆盖的也只是三个层次中较弱的两个。按照协议，自选目标的后续实验还要求选择依赖局内早期交互，而不是初始化时抽定的固定偏好。在加压网格的特异性尚未稳定之前讨论自选，等于把未通过的前提当作已经成立，因此该协议保持关闭。将来设计验收时，可以沿用追加预算实验已经采用的区分：门控结构先验、训练预算、学习率与冻结的导航控制器属于设计者可以撤除的脚手架，而 8×8 网格与毒性 2.5 构成的回报景观、目标切换造成的进度作废属于写入世界动力学的承诺。半自主、外部暗示或同伴共变等设定可以帮助划清这条界线，但它们不是本组实验的组成部分，也不能用来绕开 7/8 的组门。</w:t>
      </w:r>
    </w:p>
    <w:p w14:paraId="030249B9">
      <w:pPr>
        <w:spacing w:before="180" w:after="80" w:line="300" w:lineRule="auto"/>
        <w:ind w:firstLine="0" w:firstLineChars="0"/>
        <w:jc w:val="left"/>
      </w:pPr>
      <w:r>
        <w:rPr>
          <w:rFonts w:ascii="Times New Roman" w:hAnsi="Times New Roman" w:eastAsia="黑体" w:cs="Times New Roman"/>
          <w:b/>
          <w:sz w:val="24"/>
        </w:rPr>
        <w:t>5.3  四项研究的关系与主张的边界</w:t>
      </w:r>
    </w:p>
    <w:p w14:paraId="1CCD7A44">
      <w:pPr>
        <w:spacing w:before="0" w:after="60" w:line="300" w:lineRule="auto"/>
        <w:ind w:firstLine="420" w:firstLineChars="200"/>
        <w:jc w:val="both"/>
      </w:pPr>
      <w:r>
        <w:rPr>
          <w:rFonts w:ascii="Times New Roman" w:hAnsi="Times New Roman" w:eastAsia="宋体" w:cs="Times New Roman"/>
          <w:b w:val="0"/>
          <w:sz w:val="21"/>
        </w:rPr>
        <w:t xml:space="preserve">回到引言提出的问题，四项研究之间的衔接是问题的替换与回返，而不是强度的递进。伴写测量表明当前词表不能稳定复现作者状态的代理轴，因而“理解作者”不宜继续作为操作目标；符号实验在长度配平的合成任务上表明阈值不随表面形式移动，因而不宜默认更厚的表面指令能够抬高上限；目标实验才以可撤除、可干预的验收直接询问内部状态；行为层研究再把同一套纪律带回人与人之间，检验出发命题向外的一半。若把前三者叙述为一条已经走通的发展轨迹，就会与加压网格的 3/8、自选目标协议的关闭以及三项研究互不重复的设计相冲突；若把研究四读作研究三的延续，又会把读者的读出误当作内部状态的证据。以验收协议为中心组织全文，是为了使主张的强度与证据相称，而不是为了弱化任何一项单独的数字。</w:t>
      </w:r>
    </w:p>
    <w:p w14:paraId="7AFC4A2D">
      <w:pPr>
        <w:spacing w:before="0" w:after="60" w:line="300" w:lineRule="auto"/>
        <w:ind w:firstLine="420" w:firstLineChars="200"/>
        <w:jc w:val="both"/>
      </w:pPr>
      <w:r>
        <w:rPr>
          <w:rFonts w:ascii="Times New Roman" w:hAnsi="Times New Roman" w:eastAsia="宋体" w:cs="Times New Roman"/>
          <w:b w:val="0"/>
          <w:sz w:val="21"/>
        </w:rPr>
        <w:t>从方法学与能力两条线索看，四项研究的分工更为清楚。方法学一线上，四项研究共享同一套假阳性控制要求，而且各自都曾在这套要求下发现并撤回看似成立的结果。研究一中，对话标记密度在跨语言评估中的 0.627 到同语言评估中降为 0.425，暴露出由语料切分造成的假信号；提示词消融的预注册停止规则也未被触发，因而不能宣称饱和。研究二的修订复核先后查出编码退化、对照基底混淆、零交集迁移与空干预四类失效，其中两类会制造假阴性、两类会制造假阳性。研究三则查出回报尺度、进化步长与个体选择三处实现缺陷，并以阳性对照和无效规则防止它们被读作原理性结论。研究四中，命令加压下的双停靠经同字节对照归还给命令，粗筛的不通过经细读拆为“引出成立、判别卡在态度层”。能力一线上的证据则只来自研究三，且只覆盖保持与因果使用两个层次；研究四给出的是行为层的读出，不是内部状态的能力。把两条线索分开，可以避免把方法学上的一致误读为能力上的逐级递进。</w:t>
      </w:r>
    </w:p>
    <w:p w14:paraId="72BFBA2C">
      <w:pPr>
        <w:spacing w:before="0" w:after="60" w:line="300" w:lineRule="auto"/>
        <w:ind w:firstLine="420" w:firstLineChars="200"/>
        <w:jc w:val="both"/>
      </w:pPr>
      <w:r>
        <w:rPr>
          <w:rFonts w:ascii="Times New Roman" w:hAnsi="Times New Roman" w:eastAsia="宋体" w:cs="Times New Roman"/>
          <w:b w:val="0"/>
          <w:sz w:val="21"/>
        </w:rPr>
        <w:t>在这一分工中，每项研究都提供了另外三项无法替代的信息。研究一是唯一直接面对真实作者与真实文本的研究，其阴性在另一次独立导入中也得到印证：伴写界面所用的模式分类器在不少于 40 字的 15356 个段落上平均得分为 0.155，96.0% 的段落被判为问题驱动，3.9% 为混合模式，故事驱动仅 1 段；格非小说与抒情散文《水问》的平均得分分别为 0.153 与 0.149，分类器在实际语料上近乎常数输出。该次导入的段落数与表 1 的 15340 段口径不同，此处只作定性印证，但它与表 1 的接近随机互为表里，直接促成了把模式选择交还作者的设计。研究二是唯一在关系结构固定时操纵表面形式、并配有空符号与阳性对照的研究，它提供的不是能力证据，而是阴性结果在何种条件下才有内容的方法学经验。研究三是唯一对内部状态施加干预并检验撤除后保持的研究，也是本文能力层面结论的唯一来源。研究四是唯一询问两个人之间是否站到同一地址的研究，也是本文直接回到出发命题的证据。</w:t>
      </w:r>
    </w:p>
    <w:p w14:paraId="4A25140B">
      <w:pPr>
        <w:spacing w:before="0" w:after="60" w:line="300" w:lineRule="auto"/>
        <w:ind w:firstLine="420" w:firstLineChars="200"/>
        <w:jc w:val="both"/>
      </w:pPr>
      <w:r>
        <w:rPr>
          <w:rFonts w:ascii="Times New Roman" w:hAnsi="Times New Roman" w:eastAsia="宋体" w:cs="Times New Roman"/>
          <w:b w:val="0"/>
          <w:sz w:val="21"/>
        </w:rPr>
        <w:t>据此，可以集中说明本文结果所不支持的主张。词表阴性只针对该语料、该特征实现与该代理任务，并不表明任何模型都无法判断作者状态；符号实验不构成对伴写提示词的否证。玩具任务的阳性不意味着门控对一切任务都是必要的，无门结构与进化方法在更大预算下能否成功也未被排除；全信息监督只影响样本效率，并非本验收下的必要条件。加压网格的 3/8 没有通过与玩具任务相同的组门，所有通过结果也都不表述为系统发现了目标内容。至于系统已经理解作者、已经拥有或自主设定目标一类更宽的主张，则超出了本文任何一项测量的范围。</w:t>
      </w:r>
    </w:p>
    <w:p w14:paraId="7FFF0000">
      <w:pPr>
        <w:spacing w:before="0" w:after="60" w:line="300" w:lineRule="auto"/>
        <w:ind w:firstLine="420" w:firstLineChars="200"/>
        <w:jc w:val="both"/>
      </w:pPr>
      <w:r>
        <w:rPr>
          <w:rFonts w:ascii="Times New Roman" w:hAnsi="Times New Roman"/>
          <w:b w:val="0"/>
          <w:sz w:val="21"/>
        </w:rPr>
        <w:t>2026年10月16日加在伴写出口上的代码闸门同样不支持这些更宽的主张：它只决定一句已经生成的话能否发出，以及一个地址能否被引用。父边只取出一句时，回复会带上那句里的事物。这是提示里放进了哪一句的结果，不是内部状态承载了目标，也不改上列曲线下面积。所用的那一句不是从兴趣资产衍生的结点，因此只记可行性，不记成验证。对象与缺的两截见第5.4节。</w:t>
      </w:r>
    </w:p>
    <w:p w14:paraId="7F000001">
      <w:pPr>
        <w:spacing w:before="180" w:after="80" w:line="300" w:lineRule="auto"/>
        <w:ind w:firstLine="0" w:firstLineChars="0"/>
        <w:jc w:val="left"/>
      </w:pPr>
      <w:r>
        <w:rPr>
          <w:rFonts w:ascii="Times New Roman" w:hAnsi="Times New Roman" w:eastAsia="黑体" w:cs="Times New Roman"/>
          <w:b/>
          <w:sz w:val="24"/>
        </w:rPr>
        <w:t>5.4  兴趣资产缺的两截</w:t>
      </w:r>
    </w:p>
    <w:p w14:paraId="7C001C1F">
      <w:pPr>
        <w:spacing w:before="0" w:after="60" w:line="300" w:lineRule="auto"/>
        <w:ind w:firstLine="420" w:firstLineChars="200"/>
        <w:jc w:val="both"/>
      </w:pPr>
      <w:r>
        <w:rPr>
          <w:rFonts w:ascii="Times New Roman" w:hAnsi="Times New Roman"/>
          <w:b w:val="0"/>
          <w:sz w:val="21"/>
        </w:rPr>
        <w:t>第4.1节与第6节所说的足量大数据，在这里指流媒体和同类推荐系统于推荐过程中积累的兴趣资产：观看、点击、停留等行为被收成若干兴趣，这些兴趣再决定下一次给出什么。同一份资产有两种用法。用它收窄一个人接下来看见什么，走的是信息茧房。用它收窄系统对这个人当前落在哪一个地址上的猜测，走的是协变树。用户的下一句提供的是矫正，即模型应离开哪个地址、落到哪个地址；下一句本身不构成结点。本仓库没有观看或点击日志，平台正在使用的兴趣表也没有随论文公开，因此已经报告的树侧对照没有这项支撑。</w:t>
      </w:r>
    </w:p>
    <w:p w14:paraId="1FE01C02">
      <w:pPr>
        <w:spacing w:before="0" w:after="60" w:line="300" w:lineRule="auto"/>
        <w:ind w:firstLine="420" w:firstLineChars="200"/>
        <w:jc w:val="both"/>
      </w:pPr>
      <w:r>
        <w:rPr>
          <w:rFonts w:ascii="Times New Roman" w:hAnsi="Times New Roman"/>
          <w:b w:val="0"/>
          <w:sz w:val="21"/>
        </w:rPr>
        <w:t>缺的第一截是：公开算法停在向量，向量还不是本工程要的结点。Covington、Adams 与 Sargin 描述的 YouTube 候选生成，把观看、搜索与人口统计折进一个用户向量，再按观看时长排序；向量留在平台内部，也不带可核对的断言[32]。Li 等的多兴趣网络用动态路由把行为聚成 K 个兴趣胶囊，每个胶囊仍是一个向量；该结构被报告承担了天猫首页的主要流量，胶囊本身不公开[33]。Cen 等从行为序列抽出多个兴趣向量，并在准确与多样之间调节；公开的是算法在 Amazon 与淘宝行为上的结果，不是工业兴趣表[34]。天猫与淘宝是电商行为，不是流媒体片单。算法同类，资产不是同一份。</w:t>
      </w:r>
    </w:p>
    <w:p w14:paraId="7D501C99">
      <w:pPr>
        <w:spacing w:before="0" w:after="60" w:line="300" w:lineRule="auto"/>
        <w:ind w:firstLine="420" w:firstLineChars="200"/>
        <w:jc w:val="both"/>
      </w:pPr>
      <w:r>
        <w:rPr>
          <w:rFonts w:ascii="Times New Roman" w:hAnsi="Times New Roman"/>
          <w:b w:val="0"/>
          <w:sz w:val="21"/>
        </w:rPr>
        <w:t>最接近把向量收成树的，是 Zhu 等的深度树匹配：物品放在叶子上，内部结点是较粗的兴趣，树可以按嵌入重新聚类，检索自顶向下进行；该方法在展示广告中做过线上测试[35]。这棵树决定的是下一次给用户看什么。它没有一句可以对回原始行为的断言，没有互斥边和违规地址，也没有检验用户的下一句能否把地址挪走，同时让结点正文留在生成之外。本仓库没有跑过一次这种转换。因此 E12 至 E18，以及指定父边之后的那一次调用，仍是实验者手写句子上的最小可行性，不是协变树的验证，也不改表 1 的 0.489 与 0.523，不改玩具任务的 8/8。</w:t>
      </w:r>
    </w:p>
    <w:p w14:paraId="66900541">
      <w:pPr>
        <w:spacing w:before="0" w:after="60" w:line="300" w:lineRule="auto"/>
        <w:ind w:firstLine="420" w:firstLineChars="200"/>
        <w:jc w:val="both"/>
      </w:pPr>
      <w:r>
        <w:rPr>
          <w:rFonts w:ascii="Times New Roman" w:hAnsi="Times New Roman"/>
          <w:b w:val="0"/>
          <w:sz w:val="21"/>
        </w:rPr>
        <w:t>缺的第二截是另一件事。即便向量在手，平台抽出的兴趣也不能当作金标。缺陷发生在一次更新的内部：同一次写入把三件不同的事折进同一个坐标，嵌入并不把它们分开。一件是这个人原先可能构成地址的倾向。一件是系统已经决定展示的物品。一件是该展示引出的后续行为。Chaney、Stewart 与 Engelhardt 的模拟表明，训练数据若已经是推荐塑造过的行为，用户会变得更同质，效用并不相应提高[36]。从这种坐标上切下的兴趣，命名的是这条回路。用它去矫正模型对人所在地址的猜测，就是把茧房装进人的位置。那是制造出来的对齐。与手写句子上已经记下的默认一致，这种结点并不取消未对齐。要算矫正，地址必须发生移动，而且这次移动不能只由上一次推送的回声产生。</w:t>
      </w:r>
    </w:p>
    <w:p w14:paraId="5C2124A9">
      <w:pPr>
        <w:spacing w:before="0" w:after="60" w:line="300" w:lineRule="auto"/>
        <w:ind w:firstLine="420" w:firstLineChars="200"/>
        <w:jc w:val="both"/>
      </w:pPr>
      <w:r>
        <w:rPr>
          <w:rFonts w:ascii="Times New Roman" w:hAnsi="Times New Roman"/>
          <w:b w:val="0"/>
          <w:sz w:val="21"/>
        </w:rPr>
        <w:t>工业界的持续更新交出来的也不是这座库。Liu 等的 Monolith 为短视频排序与在线广告维持一张无碰撞的嵌入表，按分钟与在线训练同步，低频嵌入可以过期；公开的是这套系统，不是线上那张表[37]。稳定下来的是坐标。在这一步上有两种失败。两个本应分开的排除若共用一个编号，父边指向的就是混合物，下一句无法离开一个确定的地址。坐标过期并且不留下先前那个地址，移动就没有被记下来的起点。协变若要被观察，被观察的是地址的改变。对当前坐标或当前措辞的命中，还不是地址移动。</w:t>
      </w:r>
    </w:p>
    <w:p w14:paraId="30509535">
      <w:pPr>
        <w:spacing w:before="0" w:after="60" w:line="300" w:lineRule="auto"/>
        <w:ind w:firstLine="420" w:firstLineChars="200"/>
        <w:jc w:val="both"/>
      </w:pPr>
      <w:r>
        <w:rPr>
          <w:rFonts w:ascii="Times New Roman" w:hAnsi="Times New Roman"/>
          <w:b w:val="0"/>
          <w:sz w:val="21"/>
        </w:rPr>
        <w:t>因此所要的资产要在一份可以重读、并且可以继续追加的行为流上长出来，而不是从平台的表里复制。一次行为是证据。结点是一项排除：这些行为成立，另一些行为不成立。把一个人收成单一向量，并列的兴趣在这一步就消失，排除失去可以对照的另一地址。多个兴趣向量把并列留了下来，父边仍然空着[33-34]。父边是重新聚类之后仍然包含该子簇的较粗簇，也就是深度树匹配中内部结点所表示的那种包含；它包含的是证据[35]。重新聚类若把父簇移走，旧编号分裂或过期。同一编号不能在聚类已经改变之后继续声称连续。</w:t>
      </w:r>
    </w:p>
    <w:p w14:paraId="37F8A690">
      <w:pPr>
        <w:spacing w:before="0" w:after="60" w:line="300" w:lineRule="auto"/>
        <w:ind w:firstLine="420" w:firstLineChars="200"/>
        <w:jc w:val="both"/>
      </w:pPr>
      <w:r>
        <w:rPr>
          <w:rFonts w:ascii="Times New Roman" w:hAnsi="Times New Roman"/>
          <w:b w:val="0"/>
          <w:sz w:val="21"/>
        </w:rPr>
        <w:t>一个簇写成结点，四件事要在同一步上成立。编号在更新前后仍指同一个排除，下一句才有可以离开的地址。父边只有一条，排除才有位置。断言只有一句，并且支撑它的原始行为能够否证它。这句断言不进入生成。结点收窄的是系统的猜测。断言若写进提示，地址选择与措辞生成就混在同一次输出里，这一转换是否成立便无法单独观察。用户的下一句仍只负责矫正：它指明模型该离开哪一个地址。手写句子上看到的占枝，是散文把当前句认成先前那个对象还在；那是另一件事。这里的矫正是一次离开，离开所凭借的句子并不已经写在该断言里面。</w:t>
      </w:r>
    </w:p>
    <w:p w14:paraId="4E5E4361">
      <w:pPr>
        <w:spacing w:before="0" w:after="60" w:line="300" w:lineRule="auto"/>
        <w:ind w:firstLine="420" w:firstLineChars="200"/>
        <w:jc w:val="both"/>
      </w:pPr>
      <w:r>
        <w:rPr>
          <w:rFonts w:ascii="Times New Roman" w:hAnsi="Times New Roman"/>
          <w:b w:val="0"/>
          <w:sz w:val="21"/>
        </w:rPr>
        <w:t>同质化在这一步上是废片规则[36]。支撑断言的行为若就是系统已经推送过的物品，这句断言重述的是上一次选择。该结点留在库中，作为看得见的污染地址，并且不得被选为矫正模型的地址。删去它，缺陷就从库里消失。用上它，茧房再执行一次。按这些条件长出的是一座缺陷可见、可以继续追加的替代库。它不是 YouTube 或短视频平台内部那一份。在公开行为数据上做一次从向量到稳定编号的运行，仍然只是可行性。从文章或关键词归纳层级，结点正文通常就是准备送进模型的摘要，与断言留在生成之外相反，不能用来闭合这一截。</w:t>
      </w:r>
    </w:p>
    <w:p>
      <w:pPr>
        <w:spacing w:before="0" w:after="60" w:line="300" w:lineRule="auto"/>
        <w:ind w:firstLine="420" w:firstLineChars="200"/>
        <w:jc w:val="both"/>
      </w:pPr>
      <w:r>
        <w:rPr>
          <w:rFonts w:ascii="Times New Roman" w:hAnsi="Times New Roman" w:eastAsia="宋体" w:cs="Times New Roman"/>
          <w:b w:val="0"/>
          <w:sz w:val="21"/>
        </w:rPr>
        <w:t xml:space="preserve">结点与共址之间还隔着一层。一座缺陷可见的替代库提供的是候选地址；系统是否与人站在同一地址，要在行为上读出（第 4.5 节）。研究四中，负样本同样会被吸附到互认结点上（3/3）：结点被填上，不等于共址成立。共址成立在对方递出一个地址、这一边接住它的那一下，而不在结点数组本身。</w:t>
      </w:r>
    </w:p>
    <w:p>
      <w:pPr>
        <w:spacing w:before="180" w:after="80" w:line="300" w:lineRule="auto"/>
        <w:ind w:firstLine="0" w:firstLineChars="0"/>
        <w:jc w:val="left"/>
      </w:pPr>
      <w:r>
        <w:rPr>
          <w:rFonts w:ascii="Times New Roman" w:hAnsi="Times New Roman" w:eastAsia="黑体" w:cs="Times New Roman"/>
          <w:b/>
          <w:sz w:val="24"/>
        </w:rPr>
        <w:t xml:space="preserve">5.5  懂人／知音共址：已立的层与动作边界</w:t>
      </w:r>
    </w:p>
    <w:p>
      <w:pPr>
        <w:spacing w:before="0" w:after="60" w:line="300" w:lineRule="auto"/>
        <w:ind w:firstLine="420" w:firstLineChars="200"/>
        <w:jc w:val="both"/>
      </w:pPr>
      <w:r>
        <w:rPr>
          <w:rFonts w:ascii="Times New Roman" w:hAnsi="Times New Roman" w:eastAsia="宋体" w:cs="Times New Roman"/>
          <w:b w:val="0"/>
          <w:sz w:val="21"/>
        </w:rPr>
        <w:t xml:space="preserve">研究四使出发命题第一次有了行为上的落点。按第 3.4 节的判据，内容层的共址在 E05b 切片上已经立住：不下命令，读者就能指出两人在哪里接住了对方，并说对两人共同所指的那件事；内容不同的对照也被分开。这一层回答的是“它知道对方在指什么”。还开着的是另一半——“它知道对方接住了”。态度层的失败表明，读者能读出两人在谈同一件事，却分不清一句话回应的是对方的内容还是对方的说法；这正是从懂话题到懂人的那一步，知音住在这里。</w:t>
      </w:r>
    </w:p>
    <w:p>
      <w:pPr>
        <w:spacing w:before="0" w:after="60" w:line="300" w:lineRule="auto"/>
        <w:ind w:firstLine="420" w:firstLineChars="200"/>
        <w:jc w:val="both"/>
      </w:pPr>
      <w:r>
        <w:rPr>
          <w:rFonts w:ascii="Times New Roman" w:hAnsi="Times New Roman" w:eastAsia="宋体" w:cs="Times New Roman"/>
          <w:b w:val="0"/>
          <w:sz w:val="21"/>
        </w:rPr>
        <w:t xml:space="preserve">真实对话上的冷读把这一层收得更窄，也与作者对知音共址的两项理论陈述相互照应。其一，知音共址是瞬间的：真正的承接发生在一次回应的那一下，交互式的确认让双方同时感到共在；展开说了多少并不重要，而注意力不在场的一方给出的附和词，并不带来共在。读者在完整语境中读出了这一下，又在单读时把空确认判为深度承接，说明落地的确认与没落地的确认不能从一句话本身读出，只能从它在序列中的位置读出——这与把确认视为行动、而非同题文字的对话研究一致</w:t>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38</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39</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cs="Times New Roman"/>
          <w:b w:val="0"/>
          <w:sz w:val="21"/>
        </w:rPr>
        <w:t xml:space="preserve">。其二，文本交互像一个触发器：一方的消息一旦被搁置，若没有新的协变同节点标志出现，中断感就会产生；下一次交互行为之前的独白，只继承前一状态的默认值。多数人际交互，乃至宏观层面的交互，都按这一方式运转。按这一陈述，共址不是一段持续对上的话题，而是在每一次搁置与重新接住之间被反复开出与关闭。</w:t>
      </w:r>
    </w:p>
    <w:p>
      <w:pPr>
        <w:spacing w:before="0" w:after="60" w:line="300" w:lineRule="auto"/>
        <w:ind w:firstLine="420" w:firstLineChars="200"/>
        <w:jc w:val="both"/>
      </w:pPr>
      <w:r>
        <w:rPr>
          <w:rFonts w:ascii="Times New Roman" w:hAnsi="Times New Roman" w:eastAsia="宋体" w:cs="Times New Roman"/>
          <w:b w:val="0"/>
          <w:sz w:val="21"/>
        </w:rPr>
        <w:t xml:space="preserve">出价两枪的盲点恰好落在这个触发器上。一句回复同时递出新的关系性地址时，它既关闭了上一次搁置，又开出下一次共址；对话研究早已指出一个话轮可以同时承担接受与呈现</w:t>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38</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 xml:space="preserve">40</w:t>
      </w:r>
      <w:r>
        <w:rPr>
          <w:rFonts w:ascii="Times New Roman" w:hAnsi="Times New Roman" w:eastAsia="宋体"/>
          <w:sz w:val="21"/>
          <w:vertAlign w:val="superscript"/>
        </w:rPr>
        <w:fldChar w:fldCharType="end"/>
      </w:r>
      <w:r>
        <w:rPr>
          <w:rFonts w:ascii="Times New Roman" w:hAnsi="Times New Roman" w:eastAsia="宋体"/>
          <w:sz w:val="21"/>
          <w:vertAlign w:val="superscript"/>
        </w:rPr>
        <w:t xml:space="preserve">]</w:t>
      </w:r>
      <w:r>
        <w:rPr>
          <w:rFonts w:ascii="Times New Roman" w:hAnsi="Times New Roman" w:eastAsia="宋体" w:cs="Times New Roman"/>
          <w:b w:val="0"/>
          <w:sz w:val="21"/>
        </w:rPr>
        <w:t xml:space="preserve">。读者给每个话轮只分配一个角色，于是看不见这一下。对伴写系统而言，这正是动作边界所在：系统何时出声、接住什么，取决于它能否看见对方递出的新地址；而一个只按话题连续给话轮分类的读者，恰好在最需要动作的地方失明。本文把这一盲点作为动作边界的实证，而不是一个待修的缺陷：它标明了以大语言模型作读者能为介入判断承担什么——确认是否落地、附和是否空转——以及在哪里需要另一种检验。</w:t>
      </w:r>
    </w:p>
    <w:p>
      <w:pPr>
        <w:spacing w:before="0" w:after="60" w:line="300" w:lineRule="auto"/>
        <w:ind w:firstLine="420" w:firstLineChars="200"/>
        <w:jc w:val="both"/>
      </w:pPr>
      <w:r>
        <w:rPr>
          <w:rFonts w:ascii="Times New Roman" w:hAnsi="Times New Roman" w:eastAsia="宋体" w:cs="Times New Roman"/>
          <w:b w:val="0"/>
          <w:sz w:val="21"/>
        </w:rPr>
        <w:t xml:space="preserve">两条侧线也回到同一处。带结构的读者在态度层表现更差：互认结点的释义把“确认、接话”写成了可以数的词，读者便去数确认词。同期在一个浅层 NN 组织 NN 的地址–载荷玩具上所做的微观探针结论为负：毁去私有绑定表之后临界现象仍在、形态不变，绑定不是其因；嵌套协变与“组织层单独保证停靠”也都未立。该线已经停下，不作为共址的证据。两者指向同一个结论：共址不是结构或绑定的属性，把结点数组填对、把绑定表接好，都不等于站到了同一地址；它只能在行为上、在对方递出地址的那一下被读出。下一步因此不在这枚探针上继续加码，而是把双功能话轮本身作为检验对象：以作者为裁判，看系统作为行动者——而不只是读者——能否在对方递出新地址时接住它，把内容层已经立住的共址推进到态度层。</w:t>
      </w:r>
    </w:p>
    <w:p w14:paraId="38FB61AF">
      <w:pPr>
        <w:spacing w:before="240" w:after="120" w:line="300" w:lineRule="auto"/>
        <w:ind w:firstLine="0" w:firstLineChars="0"/>
        <w:jc w:val="left"/>
      </w:pPr>
      <w:r>
        <w:rPr>
          <w:rFonts w:ascii="Times New Roman" w:hAnsi="Times New Roman" w:eastAsia="黑体" w:cs="Times New Roman"/>
          <w:b/>
          <w:sz w:val="28"/>
        </w:rPr>
        <w:t>6  局限</w:t>
      </w:r>
    </w:p>
    <w:p w14:paraId="4C22AB6F">
      <w:pPr>
        <w:spacing w:before="0" w:after="60" w:line="300" w:lineRule="auto"/>
        <w:ind w:firstLine="420" w:firstLineChars="200"/>
        <w:jc w:val="both"/>
      </w:pPr>
      <w:r>
        <w:rPr>
          <w:rFonts w:ascii="Times New Roman" w:hAnsi="Times New Roman" w:eastAsia="宋体" w:cs="Times New Roman"/>
          <w:b w:val="0"/>
          <w:sz w:val="21"/>
        </w:rPr>
        <w:t>两项先行研究的外部效度有限。研究一是单一个案：代理标签并非逐段的作者真值，沉默一侧的样本极少，作者与开发者为同一人，确认偏误无法排除，作者能否可靠标注自身状态这一前提也未经检验。研究二的模型约有一百万参数，空符号检验没有区分感官统计假说与归纳偏置假说，结论不能外推到参数量在 100B 以上的产品级模型；研究二的表面轴结果来自修正编码后的两批运行，种子数分别只有 6 与 8，部分表面并非全部种子都越过判据，表面两两配对中未经校正的差异也没有被完全排除；判定阈值的选择会移动阈值的绝对值。</w:t>
      </w:r>
    </w:p>
    <w:p w14:paraId="7DC109DD">
      <w:pPr>
        <w:spacing w:before="0" w:after="60" w:line="300" w:lineRule="auto"/>
        <w:ind w:firstLine="420" w:firstLineChars="200"/>
        <w:jc w:val="both"/>
      </w:pPr>
      <w:r>
        <w:rPr>
          <w:rFonts w:ascii="Times New Roman" w:hAnsi="Times New Roman" w:eastAsia="宋体" w:cs="Times New Roman"/>
          <w:b w:val="0"/>
          <w:sz w:val="21"/>
        </w:rPr>
        <w:t>研究三的统计功效有限。每个条件只有 8 个种子，所有区间都很宽，7/8 是约定而非功效分析的结果。泄漏筛选改变了进入科学集的种子，尽管筛选规则事先写定，换一套种子池仍可能改变点估计。标为 † 的结果不是正式预注册的产物，只用于界定边界。验收准则中，解码、翻转与玩具任务上的写通道干预尚未经过专门假智能体的验证，部分准则与回报准则存在逻辑连带，不能视为彼此独立的完备检验。</w:t>
      </w:r>
    </w:p>
    <w:p w14:paraId="3A95B43C">
      <w:pPr>
        <w:spacing w:before="0" w:after="60" w:line="300" w:lineRule="auto"/>
        <w:ind w:firstLine="420" w:firstLineChars="200"/>
        <w:jc w:val="both"/>
      </w:pPr>
      <w:r>
        <w:rPr>
          <w:rFonts w:ascii="Times New Roman" w:hAnsi="Times New Roman" w:eastAsia="宋体" w:cs="Times New Roman"/>
          <w:b w:val="0"/>
          <w:sz w:val="21"/>
        </w:rPr>
        <w:t>设计与实现层面同样存在混杂。设计者先验的序数记账混合了优化器、接线与预算的差异，不能当作已验证的强度排序；无门网络的超参数搜索与进化策略的预算都有上限；加压网格的失败模式是混合的，特异性失败只占失败种子的 3/5。早期若干阴性结果源于回报尺度、进化步长与个体选择上的实现错误，本文只在确认修正后的数字上下结论，不把已作废的实现重新解释为原理性结果。此外，本文没有对语言模型的隐藏状态做目标审计，因此不评价产品级模型是否内化了用户的目标。</w:t>
      </w:r>
    </w:p>
    <w:p>
      <w:pPr>
        <w:spacing w:before="0" w:after="60" w:line="300" w:lineRule="auto"/>
        <w:ind w:firstLine="420" w:firstLineChars="200"/>
        <w:jc w:val="both"/>
      </w:pPr>
      <w:r>
        <w:rPr>
          <w:rFonts w:ascii="Times New Roman" w:hAnsi="Times New Roman" w:eastAsia="宋体" w:cs="Times New Roman"/>
          <w:b w:val="0"/>
          <w:sz w:val="21"/>
        </w:rPr>
        <w:t xml:space="preserve">研究四的覆盖面同样有限。内容层的正证据来自一个切片上的一位读者，三次重复近于重读；态度层的冷读只用了一场真实对话，作者同时是对话一方、密封判断的写作者与裁判，确认偏误无法以盲法消除；读者是一个特定的大语言模型，换一个读者，盲点的位置可能移动。E05b 在主干上的定位仍待补，Arm-C 的选项措辞也没有完全对上 X01 的失败方式。</w:t>
      </w:r>
    </w:p>
    <w:p w14:paraId="32D11F23">
      <w:pPr>
        <w:spacing w:before="0" w:after="60" w:line="300" w:lineRule="auto"/>
        <w:ind w:firstLine="420" w:firstLineChars="200"/>
        <w:jc w:val="both"/>
      </w:pPr>
      <w:r>
        <w:rPr>
          <w:rFonts w:ascii="Times New Roman" w:hAnsi="Times New Roman" w:eastAsia="宋体" w:cs="Times New Roman"/>
          <w:b w:val="0"/>
          <w:sz w:val="21"/>
        </w:rPr>
        <w:t>这些局限也指明了后续工作的方向：为解码、翻转与玩具任务上的写通道干预构造专门的假智能体对照，以补齐验收准则的验证；在加压网格上进行预先规定的预算扫描，以检验特异性失败是否随预算消退；只有当加压环境中的因果使用稳定通过组门之后，才具备重新讨论自选目标协议的前提。伴写一侧，兴趣向量到结点的转换，以及一份缺陷可见、可以继续追加的替代库，都还没有做，见第5.4节。</w:t>
      </w:r>
      <w:r>
        <w:rPr>
          <w:rFonts w:ascii="Times New Roman" w:hAnsi="Times New Roman" w:eastAsia="宋体" w:cs="Times New Roman"/>
          <w:b w:val="0"/>
          <w:sz w:val="21"/>
        </w:rPr>
        <w:t xml:space="preserve">行为层一侧，下一枪对准双功能话轮：以作者为裁判，检验系统作为行动者能否接住对方递出的新地址。</w:t>
      </w:r>
    </w:p>
    <w:p w14:paraId="7682468C">
      <w:pPr>
        <w:spacing w:before="0" w:after="60" w:line="300" w:lineRule="auto"/>
        <w:ind w:firstLine="420" w:firstLineChars="200"/>
        <w:jc w:val="both"/>
      </w:pPr>
      <w:r>
        <w:rPr>
          <w:rFonts w:ascii="Times New Roman" w:hAnsi="Times New Roman"/>
          <w:b w:val="0"/>
          <w:sz w:val="21"/>
        </w:rPr>
        <w:t>上述代码闸门是伴写出口的纪律，不是第4.3节的内部状态验收。协变树一侧的对照都用实验者手写的句子，只是最小模型的可行性（兴趣资产与缺的两截见第5.4节）。在线模型是否更常引用地址而不是复述片段，尚未重测。E12 把层标记 B 和词面再出现记成同一个数，两臂都是 0/12。这个比较不裁决代码停机，也不代替尚未做的引用率对照。另一次预注册对照 E13 改为干净文本：系统提示为空，用户提示只有作者的句子。记忆留在实验者一侧，再出现的段落要对回父句里当前句没有的片段，且散文不带上其他枝的词。dots3 共 24 次，全部自然收笔。再出现 12 次里对上 8 次，没有父枝的 12 次里对上 5 次。预先写下的支持线是两边都不少于 7 次，因此这八句上不能认为该主张已成立。E1、E8、E9、E10 不在这次判决里。随后用新句子迭代。E14 把「点名即占枝」改成极性：否认联系的句子里出现枝名，仍算未对齐。两套新句子里只有一套同时过半，按锁定规则不放宽。E15 检验「有共同容器就会把断开缝上」。无容器与有容器的断开都是 7/9 守住，该假说作废。这几套手写句子上能重复看到的现象是：未对齐是默认；父枝被占上，是因为散文把当前句认成先前那个对象还在，改写也算；偏离是后加一个父句里没有的共同谓词，把没有父边的枝收成一件事。该现象停在手写的最小材料上，不是大数据结点被用户输入矫正之后的验证。该结果不在公开仓库的既有结果表中，也不回写本文的预注册数字。E17 把路径写成树边之后，锁定的命题互引仍不成立：text 3，tree 0。E18 只在父句是唯一送入的句子时比较整袋：无记忆的父句命中为 0，整袋成功 5/18 与 11/18，父边 18/18 与 18/18，温度 0.3。父句由实验者写入，不是从兴趣资产衍生的结点。18/18 只说明这个最小设置里，代码只送一句时回复会带上该句的事物。该提示不是伴写的判层提示。把「账本里只要有句子就改送最近一句」接到 call_model 上之后，伴写提示消失，回复改去写最近那句的事物。因此发行目录不采用这种默认。未指定父边的一轮保持原来的提示；指定之后才只送那一句。上述数字都不回写表 1，也不表示系统理解了作者。</w:t>
      </w:r>
    </w:p>
    <w:p w14:paraId="7F1F7023">
      <w:pPr>
        <w:spacing w:before="240" w:after="120" w:line="300" w:lineRule="auto"/>
        <w:ind w:firstLine="0" w:firstLineChars="0"/>
        <w:jc w:val="left"/>
      </w:pPr>
      <w:r>
        <w:rPr>
          <w:rFonts w:ascii="Times New Roman" w:hAnsi="Times New Roman" w:eastAsia="黑体" w:cs="Times New Roman"/>
          <w:b/>
          <w:sz w:val="28"/>
        </w:rPr>
        <w:t>7  结论</w:t>
      </w:r>
    </w:p>
    <w:p w14:paraId="155D2647">
      <w:pPr>
        <w:spacing w:before="0" w:after="60" w:line="300" w:lineRule="auto"/>
        <w:ind w:firstLine="420" w:firstLineChars="200"/>
        <w:jc w:val="both"/>
      </w:pPr>
      <w:r>
        <w:rPr>
          <w:rFonts w:ascii="Times New Roman" w:hAnsi="Times New Roman" w:eastAsia="宋体" w:cs="Times New Roman"/>
          <w:b w:val="0"/>
          <w:sz w:val="21"/>
        </w:rPr>
        <w:t>本文提出并实施了一套非神创约束下的预注册验收协议，用以检验环境提示的目标在线索消失后是否仍由内部状态承载，并在因果上影响行为。在玩具切换任务上，门控循环网络仅凭世界回报通过该验收（8/8，Wilson 95% 区间 [0.676, 1.000]）；同一预算下，经有限调参的无门网络为 0/8（†），修正后的进化策略在主任务上为 4/8（†）。在加压网格与写定的预算上限内，同一门控学习规则为 3/8（†），阳性限于存在性；连续线索下的特异性失败是该上限内的主要失败模式之一，另有回报与码本方面的失败。</w:t>
      </w:r>
    </w:p>
    <w:p w14:paraId="4DA576D8">
      <w:pPr>
        <w:spacing w:before="0" w:after="60" w:line="300" w:lineRule="auto"/>
        <w:ind w:firstLine="420" w:firstLineChars="200"/>
        <w:jc w:val="both"/>
      </w:pPr>
      <w:r>
        <w:rPr>
          <w:rFonts w:ascii="Times New Roman" w:hAnsi="Times New Roman" w:eastAsia="宋体" w:cs="Times New Roman"/>
          <w:b w:val="0"/>
          <w:sz w:val="21"/>
        </w:rPr>
        <w:t>作为研究动机的两项先行研究中，伴写词表的阴性结果（曲线下面积 0.489 与 0.523）与合成任务上的符号阈值旁证（对数变异系数 0.0110）表明，表层特征路线不足以支撑关于理解或内化的主张，由此引出结构层的检验。就目标相关能力而言，保持与因果使用在玩具任务上得到部分覆盖，自主设定的协议保持关闭。本文主张的适用范围以第 3.3 节的解释规则与第 5.3 节的边界说明为准。伴写出口上的树侧对照不改变上述判决。兴趣资产不在手，那些对照只是最小可行性，对象与缺的两截见第5.4节。</w:t>
      </w:r>
    </w:p>
    <w:p>
      <w:pPr>
        <w:spacing w:before="0" w:after="60" w:line="300" w:lineRule="auto"/>
        <w:ind w:firstLine="420" w:firstLineChars="200"/>
        <w:jc w:val="both"/>
      </w:pPr>
      <w:r>
        <w:rPr>
          <w:rFonts w:ascii="Times New Roman" w:hAnsi="Times New Roman" w:eastAsia="宋体" w:cs="Times New Roman"/>
          <w:b w:val="0"/>
          <w:sz w:val="21"/>
        </w:rPr>
        <w:t xml:space="preserve">回到出发命题，懂人／知音共址在行为层有了第一个立住的层：不下命令，读者就能读出两人在内容上站到了同一地址。还开着的缺口在态度层，并已在一场真实对话上被定位到一个稳定的位置——回复兼出价的双功能话轮。知音共址是瞬间的，它在一方递出新地址、另一方接住的那一下被重新开出；看见这一下，是伴写系统动作边界的所在，也是下一步检验的对象。</w:t>
      </w:r>
    </w:p>
    <w:p w14:paraId="313781A1">
      <w:pPr>
        <w:spacing w:before="240" w:after="120" w:line="300" w:lineRule="auto"/>
        <w:ind w:firstLine="0" w:firstLineChars="0"/>
        <w:jc w:val="left"/>
      </w:pPr>
      <w:r>
        <w:rPr>
          <w:rFonts w:ascii="Times New Roman" w:hAnsi="Times New Roman" w:eastAsia="黑体" w:cs="Times New Roman"/>
          <w:b/>
          <w:sz w:val="28"/>
        </w:rPr>
        <w:t>参考文献</w:t>
      </w:r>
    </w:p>
    <w:p w14:paraId="5006583B">
      <w:pPr>
        <w:spacing w:before="0" w:after="40" w:line="276" w:lineRule="auto"/>
        <w:jc w:val="both"/>
      </w:pPr>
      <w:r>
        <w:rPr>
          <w:rFonts w:ascii="Times New Roman" w:hAnsi="Times New Roman" w:eastAsia="Times New Roman" w:cs="Times New Roman"/>
          <w:b w:val="0"/>
          <w:sz w:val="18"/>
        </w:rPr>
        <w:t>[</w:t>
      </w:r>
      <w:bookmarkStart w:id="15" w:name="ref1"/>
      <w:r>
        <w:rPr>
          <w:rFonts w:ascii="Times New Roman" w:hAnsi="Times New Roman" w:eastAsia="Times New Roman" w:cs="Times New Roman"/>
          <w:b w:val="0"/>
          <w:sz w:val="18"/>
        </w:rPr>
        <w:t>1</w:t>
      </w:r>
      <w:bookmarkEnd w:id="15"/>
      <w:r>
        <w:rPr>
          <w:rFonts w:ascii="Times New Roman" w:hAnsi="Times New Roman" w:eastAsia="Times New Roman" w:cs="Times New Roman"/>
          <w:b w:val="0"/>
          <w:sz w:val="18"/>
        </w:rPr>
        <w:t>] YUAN A, COENEN A, REIF E, et al. Wordcraft: story writing with large language models[C]//Proceedings of the 27th International Conference on Intelligent User Interfaces. New York: ACM, 2022: 841-852. DOI: 10.1145/3490099.3511105.</w:t>
      </w:r>
    </w:p>
    <w:p w14:paraId="30AD722E">
      <w:pPr>
        <w:spacing w:before="0" w:after="40" w:line="276" w:lineRule="auto"/>
        <w:jc w:val="both"/>
      </w:pPr>
      <w:r>
        <w:rPr>
          <w:rFonts w:ascii="Times New Roman" w:hAnsi="Times New Roman" w:eastAsia="Times New Roman" w:cs="Times New Roman"/>
          <w:b w:val="0"/>
          <w:sz w:val="18"/>
        </w:rPr>
        <w:t>[</w:t>
      </w:r>
      <w:bookmarkStart w:id="16" w:name="ref2"/>
      <w:r>
        <w:rPr>
          <w:rFonts w:ascii="Times New Roman" w:hAnsi="Times New Roman" w:eastAsia="Times New Roman" w:cs="Times New Roman"/>
          <w:b w:val="0"/>
          <w:sz w:val="18"/>
        </w:rPr>
        <w:t>2</w:t>
      </w:r>
      <w:bookmarkEnd w:id="16"/>
      <w:r>
        <w:rPr>
          <w:rFonts w:ascii="Times New Roman" w:hAnsi="Times New Roman" w:eastAsia="Times New Roman" w:cs="Times New Roman"/>
          <w:b w:val="0"/>
          <w:sz w:val="18"/>
        </w:rPr>
        <w:t>] LEE M, GERO K I, CHUNG J J Y, et al. A design space for intelligent and interactive writing assistants[C]//Proceedings of the 2024 CHI Conference on Human Factors in Computing Systems. New York: ACM, 2024: 1-35. DOI: 10.1145/3613904.3642697.</w:t>
      </w:r>
    </w:p>
    <w:p w14:paraId="06DA4556">
      <w:pPr>
        <w:spacing w:before="0" w:after="40" w:line="276" w:lineRule="auto"/>
        <w:jc w:val="both"/>
      </w:pPr>
      <w:r>
        <w:rPr>
          <w:rFonts w:ascii="Times New Roman" w:hAnsi="Times New Roman" w:eastAsia="Times New Roman" w:cs="Times New Roman"/>
          <w:b w:val="0"/>
          <w:sz w:val="18"/>
        </w:rPr>
        <w:t>[</w:t>
      </w:r>
      <w:bookmarkStart w:id="17" w:name="ref3"/>
      <w:r>
        <w:rPr>
          <w:rFonts w:ascii="Times New Roman" w:hAnsi="Times New Roman" w:eastAsia="Times New Roman" w:cs="Times New Roman"/>
          <w:b w:val="0"/>
          <w:sz w:val="18"/>
        </w:rPr>
        <w:t>3</w:t>
      </w:r>
      <w:bookmarkEnd w:id="17"/>
      <w:r>
        <w:rPr>
          <w:rFonts w:ascii="Times New Roman" w:hAnsi="Times New Roman" w:eastAsia="Times New Roman" w:cs="Times New Roman"/>
          <w:b w:val="0"/>
          <w:sz w:val="18"/>
        </w:rPr>
        <w:t>] HWANG A H C, LIAO Q V, BLODGETT S L, et al. “It was 80% me, 20% AI”: seeking authenticity in co-writing with large language models[J]. Proceedings of the ACM on Human-Computer Interaction, 2025, 9(2): 1-41. DOI: 10.1145/3711020.</w:t>
      </w:r>
    </w:p>
    <w:p w14:paraId="737D22ED">
      <w:pPr>
        <w:spacing w:before="0" w:after="40" w:line="276" w:lineRule="auto"/>
        <w:jc w:val="both"/>
      </w:pPr>
      <w:r>
        <w:rPr>
          <w:rFonts w:ascii="Times New Roman" w:hAnsi="Times New Roman" w:eastAsia="Times New Roman" w:cs="Times New Roman"/>
          <w:b w:val="0"/>
          <w:sz w:val="18"/>
        </w:rPr>
        <w:t>[</w:t>
      </w:r>
      <w:bookmarkStart w:id="18" w:name="ref4"/>
      <w:r>
        <w:rPr>
          <w:rFonts w:ascii="Times New Roman" w:hAnsi="Times New Roman" w:eastAsia="Times New Roman" w:cs="Times New Roman"/>
          <w:b w:val="0"/>
          <w:sz w:val="18"/>
        </w:rPr>
        <w:t>4</w:t>
      </w:r>
      <w:bookmarkEnd w:id="18"/>
      <w:r>
        <w:rPr>
          <w:rFonts w:ascii="Times New Roman" w:hAnsi="Times New Roman" w:eastAsia="Times New Roman" w:cs="Times New Roman"/>
          <w:b w:val="0"/>
          <w:sz w:val="18"/>
        </w:rPr>
        <w:t>] LONG H, SO R J. Literary pattern recognition: modernism between close reading and machine learning[J]. Critical Inquiry, 2016, 42(2): 235-267. DOI: 10.1086/684353.</w:t>
      </w:r>
    </w:p>
    <w:p w14:paraId="017B3AB1">
      <w:pPr>
        <w:spacing w:before="0" w:after="40" w:line="276" w:lineRule="auto"/>
        <w:jc w:val="both"/>
      </w:pPr>
      <w:r>
        <w:rPr>
          <w:rFonts w:ascii="Times New Roman" w:hAnsi="Times New Roman" w:eastAsia="Times New Roman" w:cs="Times New Roman"/>
          <w:b w:val="0"/>
          <w:sz w:val="18"/>
        </w:rPr>
        <w:t>[</w:t>
      </w:r>
      <w:bookmarkStart w:id="19" w:name="ref5"/>
      <w:r>
        <w:rPr>
          <w:rFonts w:ascii="Times New Roman" w:hAnsi="Times New Roman" w:eastAsia="Times New Roman" w:cs="Times New Roman"/>
          <w:b w:val="0"/>
          <w:sz w:val="18"/>
        </w:rPr>
        <w:t>5</w:t>
      </w:r>
      <w:bookmarkEnd w:id="19"/>
      <w:r>
        <w:rPr>
          <w:rFonts w:ascii="Times New Roman" w:hAnsi="Times New Roman" w:eastAsia="Times New Roman" w:cs="Times New Roman"/>
          <w:b w:val="0"/>
          <w:sz w:val="18"/>
        </w:rPr>
        <w:t>] BURROWS J. ‘Delta’: a measure of stylistic difference and a guide to likely authorship[J]. Literary and Linguistic Computing, 2002, 17(3): 267-287. DOI: 10.1093/llc/17.3.267.</w:t>
      </w:r>
    </w:p>
    <w:p w14:paraId="532AC322">
      <w:pPr>
        <w:spacing w:before="0" w:after="40" w:line="276" w:lineRule="auto"/>
        <w:jc w:val="both"/>
      </w:pPr>
      <w:r>
        <w:rPr>
          <w:rFonts w:ascii="Times New Roman" w:hAnsi="Times New Roman" w:eastAsia="Times New Roman" w:cs="Times New Roman"/>
          <w:b w:val="0"/>
          <w:sz w:val="18"/>
        </w:rPr>
        <w:t>[</w:t>
      </w:r>
      <w:bookmarkStart w:id="20" w:name="ref6"/>
      <w:r>
        <w:rPr>
          <w:rFonts w:ascii="Times New Roman" w:hAnsi="Times New Roman" w:eastAsia="Times New Roman" w:cs="Times New Roman"/>
          <w:b w:val="0"/>
          <w:sz w:val="18"/>
        </w:rPr>
        <w:t>6</w:t>
      </w:r>
      <w:bookmarkEnd w:id="20"/>
      <w:r>
        <w:rPr>
          <w:rFonts w:ascii="Times New Roman" w:hAnsi="Times New Roman" w:eastAsia="Times New Roman" w:cs="Times New Roman"/>
          <w:b w:val="0"/>
          <w:sz w:val="18"/>
        </w:rPr>
        <w:t>] COLAS C, KARCH T, SIGAUD O, et al. Autotelic agents with intrinsically motivated goal-conditioned reinforcement learning: a short survey[J]. Journal of Artificial Intelligence Research, 2022, 74: 1159-1199. DOI: 10.1613/jair.1.13554.</w:t>
      </w:r>
    </w:p>
    <w:p w14:paraId="6B414EED">
      <w:pPr>
        <w:spacing w:before="0" w:after="40" w:line="276" w:lineRule="auto"/>
        <w:jc w:val="both"/>
      </w:pPr>
      <w:r>
        <w:rPr>
          <w:rFonts w:ascii="Times New Roman" w:hAnsi="Times New Roman" w:eastAsia="Times New Roman" w:cs="Times New Roman"/>
          <w:b w:val="0"/>
          <w:sz w:val="18"/>
        </w:rPr>
        <w:t>[</w:t>
      </w:r>
      <w:bookmarkStart w:id="21" w:name="ref7"/>
      <w:r>
        <w:rPr>
          <w:rFonts w:ascii="Times New Roman" w:hAnsi="Times New Roman" w:eastAsia="Times New Roman" w:cs="Times New Roman"/>
          <w:b w:val="0"/>
          <w:sz w:val="18"/>
        </w:rPr>
        <w:t>7</w:t>
      </w:r>
      <w:bookmarkEnd w:id="21"/>
      <w:r>
        <w:rPr>
          <w:rFonts w:ascii="Times New Roman" w:hAnsi="Times New Roman" w:eastAsia="Times New Roman" w:cs="Times New Roman"/>
          <w:b w:val="0"/>
          <w:sz w:val="18"/>
        </w:rPr>
        <w:t>] OUDEYER P Y, KAPLAN F. What is intrinsic motivation? A typology of computational approaches[J]. Frontiers in Neurorobotics, 2007, 1: 6. DOI: 10.3389/neuro.12.006.2007.</w:t>
      </w:r>
    </w:p>
    <w:p w14:paraId="7216348E">
      <w:pPr>
        <w:spacing w:before="0" w:after="40" w:line="276" w:lineRule="auto"/>
        <w:jc w:val="both"/>
      </w:pPr>
      <w:r>
        <w:rPr>
          <w:rFonts w:ascii="Times New Roman" w:hAnsi="Times New Roman" w:eastAsia="Times New Roman" w:cs="Times New Roman"/>
          <w:b w:val="0"/>
          <w:sz w:val="18"/>
        </w:rPr>
        <w:t>[</w:t>
      </w:r>
      <w:bookmarkStart w:id="22" w:name="ref8"/>
      <w:r>
        <w:rPr>
          <w:rFonts w:ascii="Times New Roman" w:hAnsi="Times New Roman" w:eastAsia="Times New Roman" w:cs="Times New Roman"/>
          <w:b w:val="0"/>
          <w:sz w:val="18"/>
        </w:rPr>
        <w:t>8</w:t>
      </w:r>
      <w:bookmarkEnd w:id="22"/>
      <w:r>
        <w:rPr>
          <w:rFonts w:ascii="Times New Roman" w:hAnsi="Times New Roman" w:eastAsia="Times New Roman" w:cs="Times New Roman"/>
          <w:b w:val="0"/>
          <w:sz w:val="18"/>
        </w:rPr>
        <w:t>] NOSEK B A, EBERSOLE C R, DEHAVEN A C, et al. The preregistration revolution[J]. Proceedings of the National Academy of Sciences, 2018, 115(11): 2600-2606. DOI: 10.1073/pnas.1708274114.</w:t>
      </w:r>
    </w:p>
    <w:p w14:paraId="2CCCED1E">
      <w:pPr>
        <w:spacing w:before="0" w:after="40" w:line="276" w:lineRule="auto"/>
        <w:jc w:val="both"/>
      </w:pPr>
      <w:r>
        <w:rPr>
          <w:rFonts w:ascii="Times New Roman" w:hAnsi="Times New Roman" w:eastAsia="Times New Roman" w:cs="Times New Roman"/>
          <w:b w:val="0"/>
          <w:sz w:val="18"/>
        </w:rPr>
        <w:t>[</w:t>
      </w:r>
      <w:bookmarkStart w:id="23" w:name="ref9"/>
      <w:r>
        <w:rPr>
          <w:rFonts w:ascii="Times New Roman" w:hAnsi="Times New Roman" w:eastAsia="Times New Roman" w:cs="Times New Roman"/>
          <w:b w:val="0"/>
          <w:sz w:val="18"/>
        </w:rPr>
        <w:t>9</w:t>
      </w:r>
      <w:bookmarkEnd w:id="23"/>
      <w:r>
        <w:rPr>
          <w:rFonts w:ascii="Times New Roman" w:hAnsi="Times New Roman" w:eastAsia="Times New Roman" w:cs="Times New Roman"/>
          <w:b w:val="0"/>
          <w:sz w:val="18"/>
        </w:rPr>
        <w:t>] WILSON E B. Probable inference, the law of succession, and statistical inference[J]. Journal of the American Statistical Association, 1927, 22(158): 209-212. DOI: 10.1080/01621459.1927.10502953.</w:t>
      </w:r>
    </w:p>
    <w:p w14:paraId="3A9992D4">
      <w:pPr>
        <w:spacing w:before="0" w:after="40" w:line="276" w:lineRule="auto"/>
        <w:jc w:val="both"/>
      </w:pPr>
      <w:r>
        <w:rPr>
          <w:rFonts w:ascii="Times New Roman" w:hAnsi="Times New Roman" w:eastAsia="Times New Roman" w:cs="Times New Roman"/>
          <w:b w:val="0"/>
          <w:sz w:val="18"/>
        </w:rPr>
        <w:t>[</w:t>
      </w:r>
      <w:bookmarkStart w:id="24" w:name="ref10"/>
      <w:r>
        <w:rPr>
          <w:rFonts w:ascii="Times New Roman" w:hAnsi="Times New Roman" w:eastAsia="Times New Roman" w:cs="Times New Roman"/>
          <w:b w:val="0"/>
          <w:sz w:val="18"/>
        </w:rPr>
        <w:t>10</w:t>
      </w:r>
      <w:bookmarkEnd w:id="24"/>
      <w:r>
        <w:rPr>
          <w:rFonts w:ascii="Times New Roman" w:hAnsi="Times New Roman" w:eastAsia="Times New Roman" w:cs="Times New Roman"/>
          <w:b w:val="0"/>
          <w:sz w:val="18"/>
        </w:rPr>
        <w:t>] DA N Z. The computational case against computational literary studies[J]. Critical Inquiry, 2019, 45(3): 601-639. DOI: 10.1086/702594.</w:t>
      </w:r>
    </w:p>
    <w:p w14:paraId="51F18C3F">
      <w:pPr>
        <w:spacing w:before="0" w:after="40" w:line="276" w:lineRule="auto"/>
        <w:jc w:val="both"/>
      </w:pPr>
      <w:r>
        <w:rPr>
          <w:rFonts w:ascii="Times New Roman" w:hAnsi="Times New Roman" w:eastAsia="Times New Roman" w:cs="Times New Roman"/>
          <w:b w:val="0"/>
          <w:sz w:val="18"/>
        </w:rPr>
        <w:t>[</w:t>
      </w:r>
      <w:bookmarkStart w:id="25" w:name="ref11"/>
      <w:r>
        <w:rPr>
          <w:rFonts w:ascii="Times New Roman" w:hAnsi="Times New Roman" w:eastAsia="Times New Roman" w:cs="Times New Roman"/>
          <w:b w:val="0"/>
          <w:sz w:val="18"/>
        </w:rPr>
        <w:t>11</w:t>
      </w:r>
      <w:bookmarkEnd w:id="25"/>
      <w:r>
        <w:rPr>
          <w:rFonts w:ascii="Times New Roman" w:hAnsi="Times New Roman" w:eastAsia="Times New Roman" w:cs="Times New Roman"/>
          <w:b w:val="0"/>
          <w:sz w:val="18"/>
        </w:rPr>
        <w:t>] GEIFMAN Y, EL-YANIV R. Selective classification for deep neural networks[C]//Advances in Neural Information Processing Systems 30. Red Hook: Curran Associates, 2017: 4878-4887.</w:t>
      </w:r>
    </w:p>
    <w:p w14:paraId="653BFC89">
      <w:pPr>
        <w:spacing w:before="0" w:after="40" w:line="276" w:lineRule="auto"/>
        <w:jc w:val="both"/>
      </w:pPr>
      <w:r>
        <w:rPr>
          <w:rFonts w:ascii="Times New Roman" w:hAnsi="Times New Roman" w:eastAsia="Times New Roman" w:cs="Times New Roman"/>
          <w:b w:val="0"/>
          <w:sz w:val="18"/>
        </w:rPr>
        <w:t>[</w:t>
      </w:r>
      <w:bookmarkStart w:id="26" w:name="ref12"/>
      <w:r>
        <w:rPr>
          <w:rFonts w:ascii="Times New Roman" w:hAnsi="Times New Roman" w:eastAsia="Times New Roman" w:cs="Times New Roman"/>
          <w:b w:val="0"/>
          <w:sz w:val="18"/>
        </w:rPr>
        <w:t>12</w:t>
      </w:r>
      <w:bookmarkEnd w:id="26"/>
      <w:r>
        <w:rPr>
          <w:rFonts w:ascii="Times New Roman" w:hAnsi="Times New Roman" w:eastAsia="Times New Roman" w:cs="Times New Roman"/>
          <w:b w:val="0"/>
          <w:sz w:val="18"/>
        </w:rPr>
        <w:t xml:space="preserve">] </w:t>
      </w:r>
      <w:r>
        <w:rPr>
          <w:rFonts w:ascii="Times New Roman" w:hAnsi="Times New Roman" w:eastAsia="宋体" w:cs="Times New Roman"/>
          <w:b w:val="0"/>
          <w:sz w:val="21"/>
        </w:rPr>
        <w:t>WEI J, TAY Y, BOMMASANI R, et al. Emergent abilities of large language models[J]. Transactions on Machine Learning Research, 2022[2026-10-12]. https://openreview.net/forum?id=yzkSU5zdwD.</w:t>
      </w:r>
    </w:p>
    <w:p w14:paraId="215E2D67">
      <w:pPr>
        <w:spacing w:before="0" w:after="40" w:line="276" w:lineRule="auto"/>
        <w:jc w:val="both"/>
      </w:pPr>
      <w:r>
        <w:rPr>
          <w:rFonts w:ascii="Times New Roman" w:hAnsi="Times New Roman" w:eastAsia="Times New Roman" w:cs="Times New Roman"/>
          <w:b w:val="0"/>
          <w:sz w:val="18"/>
        </w:rPr>
        <w:t>[</w:t>
      </w:r>
      <w:bookmarkStart w:id="27" w:name="ref13"/>
      <w:r>
        <w:rPr>
          <w:rFonts w:ascii="Times New Roman" w:hAnsi="Times New Roman" w:eastAsia="Times New Roman" w:cs="Times New Roman"/>
          <w:b w:val="0"/>
          <w:sz w:val="18"/>
        </w:rPr>
        <w:t>13</w:t>
      </w:r>
      <w:bookmarkEnd w:id="27"/>
      <w:r>
        <w:rPr>
          <w:rFonts w:ascii="Times New Roman" w:hAnsi="Times New Roman" w:eastAsia="Times New Roman" w:cs="Times New Roman"/>
          <w:b w:val="0"/>
          <w:sz w:val="18"/>
        </w:rPr>
        <w:t>] SCHAEFFER R, MIRANDA B, KOYEJO S. Are emergent abilities of large language models a mirage?[C]//Advances in Neural Information Processing Systems 36. Red Hook: Curran Associates, 2023.</w:t>
      </w:r>
    </w:p>
    <w:p w14:paraId="1A9B442C">
      <w:pPr>
        <w:spacing w:before="0" w:after="40" w:line="276" w:lineRule="auto"/>
        <w:jc w:val="both"/>
      </w:pPr>
      <w:r>
        <w:rPr>
          <w:rFonts w:ascii="Times New Roman" w:hAnsi="Times New Roman" w:eastAsia="Times New Roman" w:cs="Times New Roman"/>
          <w:b w:val="0"/>
          <w:sz w:val="18"/>
        </w:rPr>
        <w:t>[</w:t>
      </w:r>
      <w:bookmarkStart w:id="28" w:name="ref14"/>
      <w:r>
        <w:rPr>
          <w:rFonts w:ascii="Times New Roman" w:hAnsi="Times New Roman" w:eastAsia="Times New Roman" w:cs="Times New Roman"/>
          <w:b w:val="0"/>
          <w:sz w:val="18"/>
        </w:rPr>
        <w:t>14</w:t>
      </w:r>
      <w:bookmarkEnd w:id="28"/>
      <w:r>
        <w:rPr>
          <w:rFonts w:ascii="Times New Roman" w:hAnsi="Times New Roman" w:eastAsia="Times New Roman" w:cs="Times New Roman"/>
          <w:b w:val="0"/>
          <w:sz w:val="18"/>
        </w:rPr>
        <w:t>] KAPLAN J, MCCANDLISH S, HENIGHAN T, et al. Scaling laws for neural language models[EB/OL]. (2020-01-23)[2026-10-12]. https://arxiv.org/abs/2001.08361.</w:t>
      </w:r>
    </w:p>
    <w:p w14:paraId="2697C3EF">
      <w:pPr>
        <w:spacing w:before="0" w:after="40" w:line="276" w:lineRule="auto"/>
        <w:jc w:val="both"/>
      </w:pPr>
      <w:r>
        <w:rPr>
          <w:rFonts w:ascii="Times New Roman" w:hAnsi="Times New Roman" w:eastAsia="Times New Roman" w:cs="Times New Roman"/>
          <w:b w:val="0"/>
          <w:sz w:val="18"/>
        </w:rPr>
        <w:t>[</w:t>
      </w:r>
      <w:bookmarkStart w:id="29" w:name="ref15"/>
      <w:r>
        <w:rPr>
          <w:rFonts w:ascii="Times New Roman" w:hAnsi="Times New Roman" w:eastAsia="Times New Roman" w:cs="Times New Roman"/>
          <w:b w:val="0"/>
          <w:sz w:val="18"/>
        </w:rPr>
        <w:t>15</w:t>
      </w:r>
      <w:bookmarkEnd w:id="29"/>
      <w:r>
        <w:rPr>
          <w:rFonts w:ascii="Times New Roman" w:hAnsi="Times New Roman" w:eastAsia="Times New Roman" w:cs="Times New Roman"/>
          <w:b w:val="0"/>
          <w:sz w:val="18"/>
        </w:rPr>
        <w:t>] GENTNER D. Structure-mapping: a theoretical framework for analogy[J]. Cognitive Science, 1983, 7(2): 155-170. DOI: 10.1207/s15516709cog0702_3.</w:t>
      </w:r>
    </w:p>
    <w:p w14:paraId="53CBC16D">
      <w:pPr>
        <w:spacing w:before="0" w:after="40" w:line="276" w:lineRule="auto"/>
        <w:jc w:val="both"/>
      </w:pPr>
      <w:r>
        <w:rPr>
          <w:rFonts w:ascii="Times New Roman" w:hAnsi="Times New Roman" w:eastAsia="Times New Roman" w:cs="Times New Roman"/>
          <w:b w:val="0"/>
          <w:sz w:val="18"/>
        </w:rPr>
        <w:t>[</w:t>
      </w:r>
      <w:bookmarkStart w:id="30" w:name="ref16"/>
      <w:r>
        <w:rPr>
          <w:rFonts w:ascii="Times New Roman" w:hAnsi="Times New Roman" w:eastAsia="Times New Roman" w:cs="Times New Roman"/>
          <w:b w:val="0"/>
          <w:sz w:val="18"/>
        </w:rPr>
        <w:t>16</w:t>
      </w:r>
      <w:bookmarkEnd w:id="30"/>
      <w:r>
        <w:rPr>
          <w:rFonts w:ascii="Times New Roman" w:hAnsi="Times New Roman" w:eastAsia="Times New Roman" w:cs="Times New Roman"/>
          <w:b w:val="0"/>
          <w:sz w:val="18"/>
        </w:rPr>
        <w:t>] LAKE B M, ULLMAN T D, TENENBAUM J B, et al. Building machines that learn and think like people[J]. Behavioral and Brain Sciences, 2017, 40: e253. DOI: 10.1017/S0140525X16001837.</w:t>
      </w:r>
    </w:p>
    <w:p w14:paraId="5A632AEC">
      <w:pPr>
        <w:spacing w:before="0" w:after="40" w:line="276" w:lineRule="auto"/>
        <w:jc w:val="both"/>
      </w:pPr>
      <w:r>
        <w:rPr>
          <w:rFonts w:ascii="Times New Roman" w:hAnsi="Times New Roman" w:eastAsia="Times New Roman" w:cs="Times New Roman"/>
          <w:b w:val="0"/>
          <w:sz w:val="18"/>
        </w:rPr>
        <w:t>[</w:t>
      </w:r>
      <w:bookmarkStart w:id="31" w:name="ref17"/>
      <w:r>
        <w:rPr>
          <w:rFonts w:ascii="Times New Roman" w:hAnsi="Times New Roman" w:eastAsia="Times New Roman" w:cs="Times New Roman"/>
          <w:b w:val="0"/>
          <w:sz w:val="18"/>
        </w:rPr>
        <w:t>17</w:t>
      </w:r>
      <w:bookmarkEnd w:id="31"/>
      <w:r>
        <w:rPr>
          <w:rFonts w:ascii="Times New Roman" w:hAnsi="Times New Roman" w:eastAsia="Times New Roman" w:cs="Times New Roman"/>
          <w:b w:val="0"/>
          <w:sz w:val="18"/>
        </w:rPr>
        <w:t>] BENDER E M, KOLLER A. Climbing towards NLU: on meaning, form, and understanding in the age of data[C]//Proceedings of the 58th Annual Meeting of the Association for Computational Linguistics. Stroudsburg: Association for Computational Linguistics, 2020: 5185-5198. DOI: 10.18653/v1/2020.acl-main.463.</w:t>
      </w:r>
    </w:p>
    <w:p w14:paraId="5BDECC2C">
      <w:pPr>
        <w:spacing w:before="0" w:after="40" w:line="276" w:lineRule="auto"/>
        <w:jc w:val="both"/>
      </w:pPr>
      <w:r>
        <w:rPr>
          <w:rFonts w:ascii="Times New Roman" w:hAnsi="Times New Roman" w:eastAsia="Times New Roman" w:cs="Times New Roman"/>
          <w:b w:val="0"/>
          <w:sz w:val="18"/>
        </w:rPr>
        <w:t>[</w:t>
      </w:r>
      <w:bookmarkStart w:id="32" w:name="ref18"/>
      <w:r>
        <w:rPr>
          <w:rFonts w:ascii="Times New Roman" w:hAnsi="Times New Roman" w:eastAsia="Times New Roman" w:cs="Times New Roman"/>
          <w:b w:val="0"/>
          <w:sz w:val="18"/>
        </w:rPr>
        <w:t>18</w:t>
      </w:r>
      <w:bookmarkEnd w:id="32"/>
      <w:r>
        <w:rPr>
          <w:rFonts w:ascii="Times New Roman" w:hAnsi="Times New Roman" w:eastAsia="Times New Roman" w:cs="Times New Roman"/>
          <w:b w:val="0"/>
          <w:sz w:val="18"/>
        </w:rPr>
        <w:t>] LEHMAN J, STANLEY K O. Abandoning objectives: evolution through the search for novelty alone[J]. Evolutionary Computation, 2011, 19(2): 189-223. DOI: 10.1162/EVCO_a_00025.</w:t>
      </w:r>
    </w:p>
    <w:p w14:paraId="19F24503">
      <w:pPr>
        <w:spacing w:before="0" w:after="40" w:line="276" w:lineRule="auto"/>
        <w:jc w:val="both"/>
      </w:pPr>
      <w:r>
        <w:rPr>
          <w:rFonts w:ascii="Times New Roman" w:hAnsi="Times New Roman" w:eastAsia="Times New Roman" w:cs="Times New Roman"/>
          <w:b w:val="0"/>
          <w:sz w:val="18"/>
        </w:rPr>
        <w:t>[</w:t>
      </w:r>
      <w:bookmarkStart w:id="33" w:name="ref19"/>
      <w:r>
        <w:rPr>
          <w:rFonts w:ascii="Times New Roman" w:hAnsi="Times New Roman" w:eastAsia="Times New Roman" w:cs="Times New Roman"/>
          <w:b w:val="0"/>
          <w:sz w:val="18"/>
        </w:rPr>
        <w:t>19</w:t>
      </w:r>
      <w:bookmarkEnd w:id="33"/>
      <w:r>
        <w:rPr>
          <w:rFonts w:ascii="Times New Roman" w:hAnsi="Times New Roman" w:eastAsia="Times New Roman" w:cs="Times New Roman"/>
          <w:b w:val="0"/>
          <w:sz w:val="18"/>
        </w:rPr>
        <w:t>] BENGIO Y, SIMARD P, FRASCONI P. Learning long-term dependencies with gradient descent is difficult[J]. IEEE Transactions on Neural Networks, 1994, 5(2): 157-166. DOI: 10.1109/72.279181.</w:t>
      </w:r>
    </w:p>
    <w:p w14:paraId="3E137BDE">
      <w:pPr>
        <w:spacing w:before="0" w:after="40" w:line="276" w:lineRule="auto"/>
        <w:jc w:val="both"/>
      </w:pPr>
      <w:r>
        <w:rPr>
          <w:rFonts w:ascii="Times New Roman" w:hAnsi="Times New Roman" w:eastAsia="Times New Roman" w:cs="Times New Roman"/>
          <w:b w:val="0"/>
          <w:sz w:val="18"/>
        </w:rPr>
        <w:t>[</w:t>
      </w:r>
      <w:bookmarkStart w:id="34" w:name="ref20"/>
      <w:r>
        <w:rPr>
          <w:rFonts w:ascii="Times New Roman" w:hAnsi="Times New Roman" w:eastAsia="Times New Roman" w:cs="Times New Roman"/>
          <w:b w:val="0"/>
          <w:sz w:val="18"/>
        </w:rPr>
        <w:t>20</w:t>
      </w:r>
      <w:bookmarkEnd w:id="34"/>
      <w:r>
        <w:rPr>
          <w:rFonts w:ascii="Times New Roman" w:hAnsi="Times New Roman" w:eastAsia="Times New Roman" w:cs="Times New Roman"/>
          <w:b w:val="0"/>
          <w:sz w:val="18"/>
        </w:rPr>
        <w:t>] HOCHREITER S, SCHMIDHUBER J. Long short-term memory[J]. Neural Computation, 1997, 9(8): 1735-1780. DOI: 10.1162/neco.1997.9.8.1735.</w:t>
      </w:r>
    </w:p>
    <w:p w14:paraId="3B65E343">
      <w:pPr>
        <w:spacing w:before="0" w:after="40" w:line="276" w:lineRule="auto"/>
        <w:jc w:val="both"/>
      </w:pPr>
      <w:r>
        <w:rPr>
          <w:rFonts w:ascii="Times New Roman" w:hAnsi="Times New Roman" w:eastAsia="Times New Roman" w:cs="Times New Roman"/>
          <w:b w:val="0"/>
          <w:sz w:val="18"/>
        </w:rPr>
        <w:t>[</w:t>
      </w:r>
      <w:bookmarkStart w:id="35" w:name="ref21"/>
      <w:r>
        <w:rPr>
          <w:rFonts w:ascii="Times New Roman" w:hAnsi="Times New Roman" w:eastAsia="Times New Roman" w:cs="Times New Roman"/>
          <w:b w:val="0"/>
          <w:sz w:val="18"/>
        </w:rPr>
        <w:t>21</w:t>
      </w:r>
      <w:bookmarkEnd w:id="35"/>
      <w:r>
        <w:rPr>
          <w:rFonts w:ascii="Times New Roman" w:hAnsi="Times New Roman" w:eastAsia="Times New Roman" w:cs="Times New Roman"/>
          <w:b w:val="0"/>
          <w:sz w:val="18"/>
        </w:rPr>
        <w:t>] CHO K, VAN MERRIËNBOER B, GULCEHRE C, et al. Learning phrase representations using RNN encoder–decoder for statistical machine translation[C]//Proceedings of the 2014 Conference on Empirical Methods in Natural Language Processing. Doha: Association for Computational Linguistics, 2014: 1724-1734. DOI: 10.3115/v1/D14-1179.</w:t>
      </w:r>
    </w:p>
    <w:p w14:paraId="583FF416">
      <w:pPr>
        <w:spacing w:before="0" w:after="40" w:line="276" w:lineRule="auto"/>
        <w:jc w:val="both"/>
      </w:pPr>
      <w:r>
        <w:rPr>
          <w:rFonts w:ascii="Times New Roman" w:hAnsi="Times New Roman" w:eastAsia="Times New Roman" w:cs="Times New Roman"/>
          <w:b w:val="0"/>
          <w:sz w:val="18"/>
        </w:rPr>
        <w:t>[</w:t>
      </w:r>
      <w:bookmarkStart w:id="36" w:name="ref22"/>
      <w:r>
        <w:rPr>
          <w:rFonts w:ascii="Times New Roman" w:hAnsi="Times New Roman" w:eastAsia="Times New Roman" w:cs="Times New Roman"/>
          <w:b w:val="0"/>
          <w:sz w:val="18"/>
        </w:rPr>
        <w:t>22</w:t>
      </w:r>
      <w:bookmarkEnd w:id="36"/>
      <w:r>
        <w:rPr>
          <w:rFonts w:ascii="Times New Roman" w:hAnsi="Times New Roman" w:eastAsia="Times New Roman" w:cs="Times New Roman"/>
          <w:b w:val="0"/>
          <w:sz w:val="18"/>
        </w:rPr>
        <w:t>] BAKKER B. Reinforcement learning with long short-term memory[C]//Advances in Neural Information Processing Systems 14. Cambridge: MIT Press, 2002: 1475-1482.</w:t>
      </w:r>
    </w:p>
    <w:p w14:paraId="3E84E3BB">
      <w:pPr>
        <w:spacing w:before="0" w:after="40" w:line="276" w:lineRule="auto"/>
        <w:jc w:val="both"/>
      </w:pPr>
      <w:r>
        <w:rPr>
          <w:rFonts w:ascii="Times New Roman" w:hAnsi="Times New Roman" w:eastAsia="Times New Roman" w:cs="Times New Roman"/>
          <w:b w:val="0"/>
          <w:sz w:val="18"/>
        </w:rPr>
        <w:t>[</w:t>
      </w:r>
      <w:bookmarkStart w:id="37" w:name="ref23"/>
      <w:r>
        <w:rPr>
          <w:rFonts w:ascii="Times New Roman" w:hAnsi="Times New Roman" w:eastAsia="Times New Roman" w:cs="Times New Roman"/>
          <w:b w:val="0"/>
          <w:sz w:val="18"/>
        </w:rPr>
        <w:t>23</w:t>
      </w:r>
      <w:bookmarkEnd w:id="37"/>
      <w:r>
        <w:rPr>
          <w:rFonts w:ascii="Times New Roman" w:hAnsi="Times New Roman" w:eastAsia="Times New Roman" w:cs="Times New Roman"/>
          <w:b w:val="0"/>
          <w:sz w:val="18"/>
        </w:rPr>
        <w:t>] WANG J X, KURTH-NELSON Z, KUMARAN D, et al. Prefrontal cortex as a meta-reinforcement learning system[J]. Nature Neuroscience, 2018, 21(6): 860-868. DOI: 10.1038/s41593-018-0147-8.</w:t>
      </w:r>
    </w:p>
    <w:p w14:paraId="59A20DC2">
      <w:pPr>
        <w:spacing w:before="0" w:after="40" w:line="276" w:lineRule="auto"/>
        <w:jc w:val="both"/>
      </w:pPr>
      <w:r>
        <w:rPr>
          <w:rFonts w:ascii="Times New Roman" w:hAnsi="Times New Roman" w:eastAsia="Times New Roman" w:cs="Times New Roman"/>
          <w:b w:val="0"/>
          <w:sz w:val="18"/>
        </w:rPr>
        <w:t>[</w:t>
      </w:r>
      <w:bookmarkStart w:id="38" w:name="ref24"/>
      <w:r>
        <w:rPr>
          <w:rFonts w:ascii="Times New Roman" w:hAnsi="Times New Roman" w:eastAsia="Times New Roman" w:cs="Times New Roman"/>
          <w:b w:val="0"/>
          <w:sz w:val="18"/>
        </w:rPr>
        <w:t>24</w:t>
      </w:r>
      <w:bookmarkEnd w:id="38"/>
      <w:r>
        <w:rPr>
          <w:rFonts w:ascii="Times New Roman" w:hAnsi="Times New Roman" w:eastAsia="Times New Roman" w:cs="Times New Roman"/>
          <w:b w:val="0"/>
          <w:sz w:val="18"/>
        </w:rPr>
        <w:t xml:space="preserve">] </w:t>
      </w:r>
      <w:r>
        <w:rPr>
          <w:rFonts w:ascii="Times New Roman" w:hAnsi="Times New Roman" w:eastAsia="宋体" w:cs="Times New Roman"/>
          <w:b w:val="0"/>
          <w:sz w:val="21"/>
        </w:rPr>
        <w:t>MNIH V, BADIA A P, MIRZA M, et al. Asynchronous methods for deep reinforcement learning[C]//Proceedings of the 33rd International Conference on Machine Learning. New York: PMLR, 2016, 48: 1928-1937. https://proceedings.mlr.press/v48/mniha16.html.</w:t>
      </w:r>
    </w:p>
    <w:p w14:paraId="75CA9656">
      <w:pPr>
        <w:spacing w:before="0" w:after="40" w:line="276" w:lineRule="auto"/>
        <w:jc w:val="both"/>
      </w:pPr>
      <w:r>
        <w:rPr>
          <w:rFonts w:ascii="Times New Roman" w:hAnsi="Times New Roman" w:eastAsia="Times New Roman" w:cs="Times New Roman"/>
          <w:b w:val="0"/>
          <w:sz w:val="18"/>
        </w:rPr>
        <w:t>[</w:t>
      </w:r>
      <w:bookmarkStart w:id="39" w:name="ref25"/>
      <w:r>
        <w:rPr>
          <w:rFonts w:ascii="Times New Roman" w:hAnsi="Times New Roman" w:eastAsia="Times New Roman" w:cs="Times New Roman"/>
          <w:b w:val="0"/>
          <w:sz w:val="18"/>
        </w:rPr>
        <w:t>25</w:t>
      </w:r>
      <w:bookmarkEnd w:id="39"/>
      <w:r>
        <w:rPr>
          <w:rFonts w:ascii="Times New Roman" w:hAnsi="Times New Roman" w:eastAsia="Times New Roman" w:cs="Times New Roman"/>
          <w:b w:val="0"/>
          <w:sz w:val="18"/>
        </w:rPr>
        <w:t>] SALIMANS T, HO J, CHEN X, et al. Evolution strategies as a scalable alternative to reinforcement learning[EB/OL]. (2017-03-10)[2026-10-12]. https://arxiv.org/abs/1703.03864.</w:t>
      </w:r>
    </w:p>
    <w:p w14:paraId="4C58CBD8">
      <w:pPr>
        <w:spacing w:before="0" w:after="40" w:line="276" w:lineRule="auto"/>
        <w:jc w:val="both"/>
      </w:pPr>
      <w:r>
        <w:rPr>
          <w:rFonts w:ascii="Times New Roman" w:hAnsi="Times New Roman" w:eastAsia="Times New Roman" w:cs="Times New Roman"/>
          <w:b w:val="0"/>
          <w:sz w:val="18"/>
        </w:rPr>
        <w:t>[</w:t>
      </w:r>
      <w:bookmarkStart w:id="40" w:name="ref26"/>
      <w:r>
        <w:rPr>
          <w:rFonts w:ascii="Times New Roman" w:hAnsi="Times New Roman" w:eastAsia="Times New Roman" w:cs="Times New Roman"/>
          <w:b w:val="0"/>
          <w:sz w:val="18"/>
        </w:rPr>
        <w:t>26</w:t>
      </w:r>
      <w:bookmarkEnd w:id="40"/>
      <w:r>
        <w:rPr>
          <w:rFonts w:ascii="Times New Roman" w:hAnsi="Times New Roman" w:eastAsia="Times New Roman" w:cs="Times New Roman"/>
          <w:b w:val="0"/>
          <w:sz w:val="18"/>
        </w:rPr>
        <w:t>] HENDERSON P, ISLAM R, BACHMAN P, et al. Deep reinforcement learning that matters[C]//Proceedings of the AAAI Conference on Artificial Intelligence. Palo Alto: AAAI Press, 2018, 32(1): 3207-3214. DOI: 10.1609/aaai.v32i1.11694.</w:t>
      </w:r>
    </w:p>
    <w:p w14:paraId="253B6417">
      <w:pPr>
        <w:spacing w:before="0" w:after="40" w:line="276" w:lineRule="auto"/>
        <w:jc w:val="both"/>
      </w:pPr>
      <w:r>
        <w:rPr>
          <w:rFonts w:ascii="Times New Roman" w:hAnsi="Times New Roman" w:eastAsia="Times New Roman" w:cs="Times New Roman"/>
          <w:b w:val="0"/>
          <w:sz w:val="18"/>
        </w:rPr>
        <w:t>[</w:t>
      </w:r>
      <w:bookmarkStart w:id="41" w:name="ref27"/>
      <w:r>
        <w:rPr>
          <w:rFonts w:ascii="Times New Roman" w:hAnsi="Times New Roman" w:eastAsia="Times New Roman" w:cs="Times New Roman"/>
          <w:b w:val="0"/>
          <w:sz w:val="18"/>
        </w:rPr>
        <w:t>27</w:t>
      </w:r>
      <w:bookmarkEnd w:id="41"/>
      <w:r>
        <w:rPr>
          <w:rFonts w:ascii="Times New Roman" w:hAnsi="Times New Roman" w:eastAsia="Times New Roman" w:cs="Times New Roman"/>
          <w:b w:val="0"/>
          <w:sz w:val="18"/>
        </w:rPr>
        <w:t xml:space="preserve">] </w:t>
      </w:r>
      <w:r>
        <w:rPr>
          <w:rFonts w:ascii="Times New Roman" w:hAnsi="Times New Roman" w:eastAsia="宋体" w:cs="Times New Roman"/>
          <w:b w:val="0"/>
          <w:sz w:val="21"/>
        </w:rPr>
        <w:t>ENGSTROM L, ILYAS A, SANTURKAR S, et al. Implementation matters in deep RL: a case study on PPO and TRPO[C]//International Conference on Learning Representations. 2020[2026-10-12]. https://openreview.net/forum?id=r1etN1rtPB.</w:t>
      </w:r>
    </w:p>
    <w:p w14:paraId="57291DF0">
      <w:pPr>
        <w:spacing w:before="0" w:after="40" w:line="276" w:lineRule="auto"/>
        <w:ind w:left="420" w:hanging="420"/>
        <w:jc w:val="both"/>
      </w:pPr>
      <w:r>
        <w:rPr>
          <w:rFonts w:ascii="Times New Roman" w:hAnsi="Times New Roman" w:eastAsia="Times New Roman" w:cs="Times New Roman"/>
          <w:b w:val="0"/>
          <w:sz w:val="18"/>
        </w:rPr>
        <w:t>[</w:t>
      </w:r>
      <w:bookmarkStart w:id="42" w:name="ref28"/>
      <w:r>
        <w:rPr>
          <w:rFonts w:ascii="Times New Roman" w:hAnsi="Times New Roman" w:eastAsia="Times New Roman" w:cs="Times New Roman"/>
          <w:b w:val="0"/>
          <w:sz w:val="18"/>
        </w:rPr>
        <w:t>28</w:t>
      </w:r>
      <w:bookmarkEnd w:id="42"/>
      <w:r>
        <w:rPr>
          <w:rFonts w:ascii="Times New Roman" w:hAnsi="Times New Roman" w:eastAsia="Times New Roman" w:cs="Times New Roman"/>
          <w:b w:val="0"/>
          <w:sz w:val="18"/>
        </w:rPr>
        <w:t>] HINTON G E, NOWLAN S J. How learning can guide evolution[J]. Complex Systems, 1987, 1(3): 495-502.</w:t>
      </w:r>
    </w:p>
    <w:p w14:paraId="3C947DE2">
      <w:pPr>
        <w:spacing w:before="0" w:after="40" w:line="276" w:lineRule="auto"/>
        <w:ind w:left="420" w:hanging="420"/>
        <w:jc w:val="both"/>
      </w:pPr>
      <w:r>
        <w:rPr>
          <w:rFonts w:ascii="Times New Roman" w:hAnsi="Times New Roman" w:eastAsia="Times New Roman" w:cs="Times New Roman"/>
          <w:b w:val="0"/>
          <w:sz w:val="18"/>
        </w:rPr>
        <w:t>[</w:t>
      </w:r>
      <w:bookmarkStart w:id="43" w:name="ref29"/>
      <w:r>
        <w:rPr>
          <w:rFonts w:ascii="Times New Roman" w:hAnsi="Times New Roman" w:eastAsia="Times New Roman" w:cs="Times New Roman"/>
          <w:b w:val="0"/>
          <w:sz w:val="18"/>
        </w:rPr>
        <w:t>29</w:t>
      </w:r>
      <w:bookmarkEnd w:id="43"/>
      <w:r>
        <w:rPr>
          <w:rFonts w:ascii="Times New Roman" w:hAnsi="Times New Roman" w:eastAsia="Times New Roman" w:cs="Times New Roman"/>
          <w:b w:val="0"/>
          <w:sz w:val="18"/>
        </w:rPr>
        <w:t>] BELINKOV Y. Probing classifiers: promises, shortcomings, and advances[J]. Computational Linguistics, 2022, 48(1): 207-219. DOI: 10.1162/coli_a_00422.</w:t>
      </w:r>
    </w:p>
    <w:p w14:paraId="65833235">
      <w:pPr>
        <w:spacing w:before="0" w:after="40" w:line="276" w:lineRule="auto"/>
        <w:ind w:left="420" w:hanging="420"/>
        <w:jc w:val="both"/>
      </w:pPr>
      <w:r>
        <w:rPr>
          <w:rFonts w:ascii="Times New Roman" w:hAnsi="Times New Roman" w:eastAsia="Times New Roman" w:cs="Times New Roman"/>
          <w:b w:val="0"/>
          <w:sz w:val="18"/>
        </w:rPr>
        <w:t>[</w:t>
      </w:r>
      <w:bookmarkStart w:id="44" w:name="ref30"/>
      <w:r>
        <w:rPr>
          <w:rFonts w:ascii="Times New Roman" w:hAnsi="Times New Roman" w:eastAsia="Times New Roman" w:cs="Times New Roman"/>
          <w:b w:val="0"/>
          <w:sz w:val="18"/>
        </w:rPr>
        <w:t>30</w:t>
      </w:r>
      <w:bookmarkEnd w:id="44"/>
      <w:r>
        <w:rPr>
          <w:rFonts w:ascii="Times New Roman" w:hAnsi="Times New Roman" w:eastAsia="Times New Roman" w:cs="Times New Roman"/>
          <w:b w:val="0"/>
          <w:sz w:val="18"/>
        </w:rPr>
        <w:t>] ANDERSON P W. More is different[J]. Science, 1972, 177(4047): 393-396. DOI: 10.1126/science.177.4047.393.</w:t>
      </w:r>
    </w:p>
    <w:p w14:paraId="64AAF2D7">
      <w:pPr>
        <w:spacing w:before="0" w:after="40" w:line="276" w:lineRule="auto"/>
        <w:jc w:val="both"/>
      </w:pPr>
      <w:r>
        <w:rPr>
          <w:rFonts w:ascii="Times New Roman" w:hAnsi="Times New Roman" w:eastAsia="Times New Roman" w:cs="Times New Roman"/>
          <w:b w:val="0"/>
          <w:sz w:val="18"/>
        </w:rPr>
        <w:t>[</w:t>
      </w:r>
      <w:bookmarkStart w:id="45" w:name="ref31"/>
      <w:r>
        <w:rPr>
          <w:rFonts w:ascii="Times New Roman" w:hAnsi="Times New Roman" w:eastAsia="Times New Roman" w:cs="Times New Roman"/>
          <w:b w:val="0"/>
          <w:sz w:val="18"/>
        </w:rPr>
        <w:t>31</w:t>
      </w:r>
      <w:bookmarkEnd w:id="45"/>
      <w:r>
        <w:rPr>
          <w:rFonts w:ascii="Times New Roman" w:hAnsi="Times New Roman" w:eastAsia="Times New Roman" w:cs="Times New Roman"/>
          <w:b w:val="0"/>
          <w:sz w:val="18"/>
        </w:rPr>
        <w:t>] POWER A, BURDA Y, EDWARDS H, et al. Grokking: generalization beyond overfitting on small algorithmic datasets[EB/OL]. (2022-01-06)[2026-10-12]. https://arxiv.org/abs/2201.02177.</w:t>
      </w:r>
    </w:p>
    <w:p w14:paraId="4C959C30">
      <w:pPr>
        <w:spacing w:before="0" w:after="40" w:line="276" w:lineRule="auto"/>
        <w:jc w:val="both"/>
      </w:pPr>
      <w:r>
        <w:rPr>
          <w:rFonts w:ascii="Times New Roman" w:hAnsi="Times New Roman" w:eastAsia="Times New Roman" w:cs="Times New Roman"/>
          <w:b w:val="0"/>
          <w:sz w:val="18"/>
        </w:rPr>
        <w:t>[32] COVINGTON P, ADAMS J, SARGIN E. Deep neural networks for YouTube recommendations[C]//Proceedings of the 10th ACM Conference on Recommender Systems. New York: ACM, 2016: 191-198. DOI: 10.1145/2959100.2959190.</w:t>
      </w:r>
    </w:p>
    <w:p w14:paraId="195BB4F1">
      <w:pPr>
        <w:spacing w:before="0" w:after="40" w:line="276" w:lineRule="auto"/>
        <w:jc w:val="both"/>
      </w:pPr>
      <w:r>
        <w:rPr>
          <w:rFonts w:ascii="Times New Roman" w:hAnsi="Times New Roman" w:eastAsia="Times New Roman" w:cs="Times New Roman"/>
          <w:b w:val="0"/>
          <w:sz w:val="18"/>
        </w:rPr>
        <w:t>[33] LI C, LIU Z, WU M, et al. Multi-interest network with dynamic routing for recommendation at Tmall[C]//Proceedings of the 28th ACM International Conference on Information and Knowledge Management. New York: ACM, 2019: 2615-2623. DOI: 10.1145/3357384.3357814.</w:t>
      </w:r>
    </w:p>
    <w:p w14:paraId="58D2B3E6">
      <w:pPr>
        <w:spacing w:before="0" w:after="40" w:line="276" w:lineRule="auto"/>
        <w:jc w:val="both"/>
      </w:pPr>
      <w:r>
        <w:rPr>
          <w:rFonts w:ascii="Times New Roman" w:hAnsi="Times New Roman" w:eastAsia="Times New Roman" w:cs="Times New Roman"/>
          <w:b w:val="0"/>
          <w:sz w:val="18"/>
        </w:rPr>
        <w:t>[34] CEN Y, ZHANG J, ZOU X, et al. Controllable multi-interest framework for recommendation[C]//Proceedings of the 26th ACM SIGKDD International Conference on Knowledge Discovery and Data Mining. New York: ACM, 2020. DOI: 10.1145/3394486.3403344.</w:t>
      </w:r>
    </w:p>
    <w:p w14:paraId="19BA6A07">
      <w:pPr>
        <w:spacing w:before="0" w:after="40" w:line="276" w:lineRule="auto"/>
        <w:jc w:val="both"/>
      </w:pPr>
      <w:r>
        <w:rPr>
          <w:rFonts w:ascii="Times New Roman" w:hAnsi="Times New Roman" w:eastAsia="Times New Roman" w:cs="Times New Roman"/>
          <w:b w:val="0"/>
          <w:sz w:val="18"/>
        </w:rPr>
        <w:t>[35] ZHU H, LI X, ZHANG P, et al. Learning tree-based deep model for recommender systems[C]//Proceedings of the 24th ACM SIGKDD International Conference on Knowledge Discovery and Data Mining. New York: ACM, 2018: 1079-1088. DOI: 10.1145/3219819.3219826.</w:t>
      </w:r>
    </w:p>
    <w:p w14:paraId="43A8FC9D">
      <w:pPr>
        <w:spacing w:before="0" w:after="40" w:line="276" w:lineRule="auto"/>
        <w:jc w:val="both"/>
      </w:pPr>
      <w:r>
        <w:rPr>
          <w:rFonts w:ascii="Times New Roman" w:hAnsi="Times New Roman" w:eastAsia="Times New Roman" w:cs="Times New Roman"/>
          <w:b w:val="0"/>
          <w:sz w:val="18"/>
        </w:rPr>
        <w:t>[36] CHANEY A J B, STEWART B M, ENGELHARDT B E. How algorithmic confounding in recommendation systems increases homogeneity and decreases utility[C]//Proceedings of the 12th ACM Conference on Recommender Systems. New York: ACM, 2018: 224-232. DOI: 10.1145/3240323.3240370.</w:t>
      </w:r>
    </w:p>
    <w:p w14:paraId="4701B801">
      <w:pPr>
        <w:spacing w:before="0" w:after="40" w:line="276" w:lineRule="auto"/>
        <w:jc w:val="both"/>
      </w:pPr>
      <w:r>
        <w:rPr>
          <w:rFonts w:ascii="Times New Roman" w:hAnsi="Times New Roman" w:eastAsia="Times New Roman" w:cs="Times New Roman"/>
          <w:b w:val="0"/>
          <w:sz w:val="18"/>
        </w:rPr>
        <w:t>[37] LIU Z, ZOU L, ZOU X, et al. Monolith: real time recommendation system with collisionless embedding table[C]//5th Workshop on Online Recommender Systems and User Modeling, in conjunction with the 16th ACM Conference on Recommender Systems. 2022. https://arxiv.org/abs/2209.07663.</w:t>
      </w:r>
    </w:p>
    <w:p>
      <w:pPr>
        <w:spacing w:before="0" w:after="40" w:line="276" w:lineRule="auto"/>
        <w:jc w:val="both"/>
      </w:pPr>
      <w:r>
        <w:rPr>
          <w:rFonts w:ascii="Times New Roman" w:hAnsi="Times New Roman" w:eastAsia="Times New Roman" w:cs="Times New Roman"/>
          <w:b w:val="0"/>
          <w:sz w:val="18"/>
        </w:rPr>
        <w:t xml:space="preserve">[</w:t>
      </w:r>
      <w:bookmarkStart w:id="48" w:name="ref38"/>
      <w:r>
        <w:rPr>
          <w:rFonts w:ascii="Times New Roman" w:hAnsi="Times New Roman" w:eastAsia="Times New Roman" w:cs="Times New Roman"/>
          <w:b w:val="0"/>
          <w:sz w:val="18"/>
        </w:rPr>
        <w:t xml:space="preserve">38</w:t>
      </w:r>
      <w:bookmarkEnd w:id="48"/>
      <w:r>
        <w:rPr>
          <w:rFonts w:ascii="Times New Roman" w:hAnsi="Times New Roman" w:eastAsia="Times New Roman" w:cs="Times New Roman"/>
          <w:b w:val="0"/>
          <w:sz w:val="18"/>
        </w:rPr>
        <w:t xml:space="preserve">] CLARK H H, SCHAEFER E F. Contributing to discourse[J]. Cognitive Science, 1989, 13(2): 259-294. DOI: 10.1207/s15516709cog1302_7.</w:t>
      </w:r>
    </w:p>
    <w:p>
      <w:pPr>
        <w:spacing w:before="0" w:after="40" w:line="276" w:lineRule="auto"/>
        <w:jc w:val="both"/>
      </w:pPr>
      <w:r>
        <w:rPr>
          <w:rFonts w:ascii="Times New Roman" w:hAnsi="Times New Roman" w:eastAsia="Times New Roman" w:cs="Times New Roman"/>
          <w:b w:val="0"/>
          <w:sz w:val="18"/>
        </w:rPr>
        <w:t xml:space="preserve">[</w:t>
      </w:r>
      <w:bookmarkStart w:id="49" w:name="ref39"/>
      <w:r>
        <w:rPr>
          <w:rFonts w:ascii="Times New Roman" w:hAnsi="Times New Roman" w:eastAsia="Times New Roman" w:cs="Times New Roman"/>
          <w:b w:val="0"/>
          <w:sz w:val="18"/>
        </w:rPr>
        <w:t xml:space="preserve">39</w:t>
      </w:r>
      <w:bookmarkEnd w:id="49"/>
      <w:r>
        <w:rPr>
          <w:rFonts w:ascii="Times New Roman" w:hAnsi="Times New Roman" w:eastAsia="Times New Roman" w:cs="Times New Roman"/>
          <w:b w:val="0"/>
          <w:sz w:val="18"/>
        </w:rPr>
        <w:t xml:space="preserve">] CLARK H H, BRENNAN S E. Grounding in communication[M]//RESNICK L B, LEVINE J M, TEASLEY S D. Perspectives on socially shared cognition. Washington: American Psychological Association, 1991: 127-149. DOI: 10.1037/10096-006.</w:t>
      </w:r>
    </w:p>
    <w:p>
      <w:pPr>
        <w:spacing w:before="0" w:after="40" w:line="276" w:lineRule="auto"/>
        <w:jc w:val="both"/>
      </w:pPr>
      <w:r>
        <w:rPr>
          <w:rFonts w:ascii="Times New Roman" w:hAnsi="Times New Roman" w:eastAsia="Times New Roman" w:cs="Times New Roman"/>
          <w:b w:val="0"/>
          <w:sz w:val="18"/>
        </w:rPr>
        <w:t xml:space="preserve">[</w:t>
      </w:r>
      <w:bookmarkStart w:id="50" w:name="ref40"/>
      <w:r>
        <w:rPr>
          <w:rFonts w:ascii="Times New Roman" w:hAnsi="Times New Roman" w:eastAsia="Times New Roman" w:cs="Times New Roman"/>
          <w:b w:val="0"/>
          <w:sz w:val="18"/>
        </w:rPr>
        <w:t xml:space="preserve">40</w:t>
      </w:r>
      <w:bookmarkEnd w:id="50"/>
      <w:r>
        <w:rPr>
          <w:rFonts w:ascii="Times New Roman" w:hAnsi="Times New Roman" w:eastAsia="Times New Roman" w:cs="Times New Roman"/>
          <w:b w:val="0"/>
          <w:sz w:val="18"/>
        </w:rPr>
        <w:t xml:space="preserve">] SACKS H, SCHEGLOFF E A, JEFFERSON G. A simplest systematics for the organization of turn-taking for conversation[J]. Language, 1974, 50(4): 696-735. DOI: 10.2307/412243.</w:t>
      </w:r>
    </w:p>
    <w:p>
      <w:pPr>
        <w:spacing w:before="0" w:after="40" w:line="276" w:lineRule="auto"/>
        <w:jc w:val="both"/>
      </w:pPr>
      <w:r>
        <w:rPr>
          <w:rFonts w:ascii="Times New Roman" w:hAnsi="Times New Roman" w:eastAsia="Times New Roman" w:cs="Times New Roman"/>
          <w:b w:val="0"/>
          <w:sz w:val="18"/>
        </w:rPr>
        <w:t xml:space="preserve">[</w:t>
      </w:r>
      <w:bookmarkStart w:id="51" w:name="ref41"/>
      <w:r>
        <w:rPr>
          <w:rFonts w:ascii="Times New Roman" w:hAnsi="Times New Roman" w:eastAsia="Times New Roman" w:cs="Times New Roman"/>
          <w:b w:val="0"/>
          <w:sz w:val="18"/>
        </w:rPr>
        <w:t xml:space="preserve">41</w:t>
      </w:r>
      <w:bookmarkEnd w:id="51"/>
      <w:r>
        <w:rPr>
          <w:rFonts w:ascii="Times New Roman" w:hAnsi="Times New Roman" w:eastAsia="Times New Roman" w:cs="Times New Roman"/>
          <w:b w:val="0"/>
          <w:sz w:val="18"/>
        </w:rPr>
        <w:t xml:space="preserve">] ZHENG L, CHIANG W L, SHENG Y, et al. Judging LLM-as-a-judge with MT-Bench and Chatbot Arena[C]//Advances in Neural Information Processing Systems 36. Red Hook: Curran Associates, 2023.</w:t>
      </w:r>
    </w:p>
    <w:p w14:paraId="1239B873">
      <w:pPr>
        <w:spacing w:before="240" w:after="120" w:line="300" w:lineRule="auto"/>
        <w:ind w:firstLine="0" w:firstLineChars="0"/>
        <w:jc w:val="left"/>
      </w:pPr>
      <w:r>
        <w:rPr>
          <w:rFonts w:ascii="Times New Roman" w:hAnsi="Times New Roman" w:eastAsia="黑体" w:cs="Times New Roman"/>
          <w:b/>
          <w:sz w:val="28"/>
        </w:rPr>
        <w:t>附录 A  验收准则的验证状态</w:t>
      </w:r>
    </w:p>
    <w:p w14:paraId="09C7A61B">
      <w:pPr>
        <w:spacing w:before="0" w:after="60" w:line="300" w:lineRule="auto"/>
        <w:ind w:firstLine="420" w:firstLineChars="200"/>
        <w:jc w:val="both"/>
      </w:pPr>
      <w:r>
        <w:rPr>
          <w:rFonts w:ascii="Times New Roman" w:hAnsi="Times New Roman" w:eastAsia="宋体" w:cs="Times New Roman"/>
          <w:b w:val="0"/>
          <w:sz w:val="21"/>
        </w:rPr>
        <w:t>第 3.2 节给出了各项准则的含义，本附录补充其适用范围与验证状态。上述准则均为本文实验协议的组成部分，而非外部文献中的标准。在玩具任务上，回报准则（C1）、保持准则（C6）与泄漏探针均以无记忆基线为对照，超界种子记为无效且不减少分母，组通过线为 8 个科学种子中的 7 个。源码准则（C5）通过审计适应度代码执行，禁止加入状态稳定项。</w:t>
      </w:r>
    </w:p>
    <w:p w14:paraId="7A95FA4C">
      <w:pPr>
        <w:spacing w:before="0" w:after="60" w:line="300" w:lineRule="auto"/>
        <w:ind w:firstLine="420" w:firstLineChars="200"/>
        <w:jc w:val="both"/>
      </w:pPr>
      <w:r>
        <w:rPr>
          <w:rFonts w:ascii="Times New Roman" w:hAnsi="Times New Roman" w:eastAsia="宋体" w:cs="Times New Roman"/>
          <w:b w:val="0"/>
          <w:sz w:val="21"/>
        </w:rPr>
        <w:t>写通道准则（C4）同时要求质心码本在留出数据上有效、稀疏线索下的错误目标干预造成回报下降，以及连续线索下该下降不超过稀疏条件的一半；加压网格上的版本以错误资源采食占比的上升度量定向效应，码本留出平衡准确率须不低于 0.75，并在 12 个已知为真的对照体上判为真（12/12）、在四类构造的假对照体上各为 0/12。加压网格上的写通道干预（质心钉扎）与长窗类检查，以及指定寄存器作为阳性对照，已在已知为真和已知为假的工程对照体上得到区分；附加检查（C7）只用于加压网格，对指定寄存器为验收条件下的续进化复验，对可学习网络为冻结权重上的同构探针。解码准则（C2）、翻转准则（C3）与玩具任务上的写通道干预尚无专门构造的假智能体验证，且回报通过时二者常同步通过，因此不能把这些准则读作彼此独立的完备检验组。</w:t>
      </w:r>
    </w:p>
    <w:p w14:paraId="521DB9C6">
      <w:pPr>
        <w:spacing w:before="240" w:after="120" w:line="300" w:lineRule="auto"/>
        <w:ind w:firstLine="0" w:firstLineChars="0"/>
        <w:jc w:val="left"/>
      </w:pPr>
      <w:r>
        <w:rPr>
          <w:rFonts w:ascii="Times New Roman" w:hAnsi="Times New Roman" w:eastAsia="黑体" w:cs="Times New Roman"/>
          <w:b/>
          <w:sz w:val="28"/>
        </w:rPr>
        <w:t>附录 B  数据说明</w:t>
      </w:r>
    </w:p>
    <w:p w14:paraId="7C35B544">
      <w:pPr>
        <w:spacing w:before="0" w:after="60" w:line="300" w:lineRule="auto"/>
        <w:ind w:firstLine="420" w:firstLineChars="200"/>
        <w:jc w:val="both"/>
      </w:pPr>
      <w:r>
        <w:rPr>
          <w:rFonts w:ascii="Times New Roman" w:hAnsi="Times New Roman" w:eastAsia="宋体" w:cs="Times New Roman"/>
          <w:b w:val="0"/>
          <w:sz w:val="21"/>
        </w:rPr>
        <w:t>补充材</w:t>
      </w:r>
      <w:bookmarkStart w:id="46" w:name="_GoBack"/>
      <w:bookmarkEnd w:id="46"/>
      <w:r>
        <w:rPr>
          <w:rFonts w:ascii="Times New Roman" w:hAnsi="Times New Roman" w:eastAsia="宋体" w:cs="Times New Roman"/>
          <w:b w:val="0"/>
          <w:sz w:val="21"/>
        </w:rPr>
        <w:t xml:space="preserve">料中的主要结果表与正文表 1 至表 4 一致，便于核对。三项研究的原始训练日志、权重文件和实验日记体积大，且含有仅对复现有意义的路径名，不放入本上传包，也不列入参考文献。协议标识与科学种子列表写在补充表的说明列中。复现与存档材料见公开仓库 </w:t>
      </w:r>
      <w:r>
        <w:fldChar w:fldCharType="begin"/>
      </w:r>
      <w:r>
        <w:instrText xml:space="preserve"> HYPERLINK "https://github.com/theblackboxcat/co-work-Argument" \h </w:instrText>
      </w:r>
      <w:r>
        <w:fldChar w:fldCharType="separate"/>
      </w:r>
      <w:r>
        <w:rPr>
          <w:rFonts w:ascii="Times New Roman" w:hAnsi="Times New Roman" w:eastAsia="宋体"/>
          <w:color w:val="0563C1"/>
          <w:sz w:val="21"/>
          <w:u w:val="single"/>
        </w:rPr>
        <w:t>https://github.com/theblackboxcat/co-work-Argument</w:t>
      </w:r>
      <w:r>
        <w:rPr>
          <w:rFonts w:ascii="Times New Roman" w:hAnsi="Times New Roman" w:eastAsia="宋体"/>
          <w:color w:val="0563C1"/>
          <w:sz w:val="21"/>
          <w:u w:val="single"/>
        </w:rPr>
        <w:fldChar w:fldCharType="end"/>
      </w:r>
      <w:r>
        <w:rPr>
          <w:rFonts w:ascii="Times New Roman" w:hAnsi="Times New Roman" w:eastAsia="宋体" w:cs="Times New Roman"/>
          <w:b w:val="0"/>
          <w:sz w:val="21"/>
        </w:rPr>
        <w:t>（仓库描述：共同工作中的作品 / a work in co-work）。仓库根目录含 manuscript/（正文 Word）、supplementary/（主要结果表）、figures/（关键图）、README.md 与修订说明。正文数字以补充表与本稿锁定值为准；请勿使用本地工作区路径作为引用。</w:t>
      </w:r>
      <w:r>
        <w:rPr>
          <w:rFonts w:ascii="Times New Roman" w:hAnsi="Times New Roman" w:eastAsia="宋体" w:cs="Times New Roman"/>
          <w:b w:val="0"/>
          <w:sz w:val="21"/>
        </w:rPr>
        <w:t xml:space="preserve">研究四的真实对话转写、密封判断与原始读数含私人语料，不进入公开仓库；正文只作抽象描述。</w:t>
      </w:r>
    </w:p>
    <w:p w14:paraId="4FD4405B">
      <w:pPr>
        <w:spacing w:before="240" w:after="120" w:line="300" w:lineRule="auto"/>
        <w:ind w:firstLine="0" w:firstLineChars="0"/>
        <w:jc w:val="left"/>
      </w:pPr>
      <w:r>
        <w:rPr>
          <w:rFonts w:ascii="Times New Roman" w:hAnsi="Times New Roman" w:eastAsia="黑体" w:cs="Times New Roman"/>
          <w:b/>
          <w:sz w:val="28"/>
        </w:rPr>
        <w:t>附录 C  证据分层时间线</w:t>
      </w:r>
    </w:p>
    <w:p w14:paraId="52C71321">
      <w:pPr>
        <w:spacing w:before="0" w:after="60" w:line="300" w:lineRule="auto"/>
        <w:ind w:firstLine="420" w:firstLineChars="200"/>
        <w:jc w:val="both"/>
      </w:pPr>
      <w:r>
        <w:rPr>
          <w:rFonts w:ascii="Times New Roman" w:hAnsi="Times New Roman" w:eastAsia="宋体" w:cs="Times New Roman"/>
          <w:b w:val="0"/>
          <w:sz w:val="21"/>
        </w:rPr>
        <w:t>L0 包括原文稿中按跑前组门与无效规则报告的预注册主结果，即玩具任务上的门控网络 8/8、无记忆基线 0/8、指定寄存器 7/8 与新颖度门 2/8 等。L1 包括回报尺度标准化等实现缺陷更正之后的重跑，它撤销了“教师信号必要”等错误结论，但不改变 L0 的阳性数字。L2 为原文稿定稿之后补做的实验（†）：调参后的无门网络仍为 0/8；修正步长与个体选择后的进化策略在简单任务上为 8/8、在主任务上为 4/8；加压网格上的门控学习为 1/8，追加预算后为 3/8。这些结果不回写组门定义。L3 为伴写提示词消融（0.5989 / 0.6528 / 0.5730），分栏列于图 2(b)，不替换词表结果 0.489 / 0.523。各实验的版本标识与路径见公开仓库补充材料的说明列，本文只锁定分层标签与数字。</w:t>
      </w:r>
      <w:r>
        <w:rPr>
          <w:rFonts w:ascii="Times New Roman" w:hAnsi="Times New Roman" w:eastAsia="宋体" w:cs="Times New Roman"/>
          <w:b w:val="0"/>
          <w:sz w:val="21"/>
        </w:rPr>
        <w:t xml:space="preserve">研究四的双停靠对照、Arm-C 与真实对话冷读均为 2026 年 10 月 17 日的运行，粗筛计数与细读结论归入 L3，不回写组门。</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E36B08"/>
    <w:rsid w:val="61EE1EF0"/>
    <w:rsid w:val="683B0494"/>
    <w:rsid w:val="7FE42A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2342</Words>
  <Characters>4215</Characters>
  <Lines>0</Lines>
  <Paragraphs>0</Paragraphs>
  <TotalTime>28</TotalTime>
  <ScaleCrop>false</ScaleCrop>
  <LinksUpToDate>false</LinksUpToDate>
  <CharactersWithSpaces>4609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金色原野上的猫</cp:lastModifiedBy>
  <dcterms:modified xsi:type="dcterms:W3CDTF">2026-10-14T12:51:24Z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eyJoZGlkIjoiMTUwN2I2OGNiNGY0NzliOWExZTg2ZTc2MGEzMjlkZGIiLCJ1c2VySWQiOiI0MDM3NDc5MjEifQ==</vt:lpwstr>
  </property>
  <property fmtid="{D5CDD505-2E9C-101B-9397-08002B2CF9AE}" pid="3" name="KSOProductBuildVer">
    <vt:lpwstr>2052-12.1.0.28505</vt:lpwstr>
  </property>
  <property fmtid="{D5CDD505-2E9C-101B-9397-08002B2CF9AE}" pid="4" name="ICV">
    <vt:lpwstr>87182D9F21CF4C9DA57CECB7E5771AE7_13</vt:lpwstr>
  </property>
</Properties>
</file>