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module_summary.pdf</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released publicly with a DOI before the module's submission;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5.5</w:t>
            </w:r>
          </w:p>
        </w:tc>
        <w:tc>
          <w:tcPr>
            <w:tcW w:type="dxa" w:w="1170"/>
          </w:tcPr>
          <w:p>
            <w:r/>
            <w:r>
              <w:rPr>
                <w:sz w:val="18"/>
              </w:rPr>
              <w:t>5.2</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4.0</w:t>
            </w:r>
          </w:p>
        </w:tc>
        <w:tc>
          <w:tcPr>
            <w:tcW w:type="dxa" w:w="1170"/>
          </w:tcPr>
          <w:p>
            <w:r/>
            <w:r>
              <w:rPr>
                <w:sz w:val="18"/>
              </w:rPr>
              <w:t>4.0</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3.2</w:t>
            </w:r>
          </w:p>
        </w:tc>
        <w:tc>
          <w:tcPr>
            <w:tcW w:type="dxa" w:w="1170"/>
          </w:tcPr>
          <w:p>
            <w:r/>
            <w:r>
              <w:rPr>
                <w:sz w:val="18"/>
              </w:rPr>
              <w:t>2.6</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8.3</w:t>
            </w:r>
          </w:p>
        </w:tc>
        <w:tc>
          <w:tcPr>
            <w:tcW w:type="dxa" w:w="1170"/>
          </w:tcPr>
          <w:p>
            <w:r/>
            <w:r>
              <w:rPr>
                <w:sz w:val="18"/>
              </w:rPr>
              <w:t>8.6</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5.5 cm⁻¹ (baseline) and 5.2 (four layers) against 20.3 for no correction and 15.6 for the family-median rule; for the C–H out-of-plane family 4.0 and 4.0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Addendum (23 September 2026): a corrupted target and the representation of the couplings</w:t>
      </w:r>
    </w:p>
    <w:p>
      <w:r>
        <w:rPr>
          <w:b w:val="0"/>
          <w:i w:val="0"/>
        </w:rPr>
        <w:t>After the run above, two findings were added to the notebook as follow-up cells (section 7), leaving sections 1–6 unchanged so that the change of understanding is visible. First, an independent analytic calculation of one molecule's Hessians (benzene, pyscf, same geometry) disagreed with the corpus finite-difference Hessian by up to 132 cm⁻¹; a screen of all 244 molecules on the sorted-pair functional shift found benzene as the only molecule above 100 cm⁻¹ (median 48). The molecule's target was replaced by the second route (release layerA2_2026-09-23b.npz) and the baseline retrained with the identical protocol: ring-in-plane band-shift RMS 5.6 cm⁻¹ against 20.3 for the zero rule (C–H out-of-plane 4.0 against 24.1); the result of the main run stands. Second, a pre-registered learning curve on the same corpus showed that the couplings, which the model above predicts as zero, are learned once the target is expressed in local pairwise force-constant terms instead of the normal-mode basis: ring coupling error relative to the zero rule 0.43 on the layer-A hold-out and 0.47 on molecules of cores never seen in training at 175 training molecules, with corrected-frequency errors of 4.7 and 5.1 cm⁻¹ against 23 for no correction. The model of this report is kept as the pre-registered baseline; the pairwise local target is the design of the next version.</w:t>
      </w:r>
    </w:p>
    <w:p>
      <w:r>
        <w:rPr>
          <w:b w:val="0"/>
          <w:i w:val="0"/>
        </w:rPr>
        <w:t>What was learned: a target can be wrong and a model will faithfully fail on it, so every derived quantity now gets a second route before it is trusted; and the network was not the limit — the representation was. Both findings, their predictions and their outcomes are dated in the project's pre-registration notes.</w:t>
      </w:r>
    </w:p>
    <w:p>
      <w:pPr>
        <w:ind w:firstLine="0"/>
      </w:pPr>
      <w:r>
        <w:rPr>
          <w:b/>
          <w:i w:val="0"/>
        </w:rPr>
        <w:t>Addendum 2 (24 September 2026): the imaginary-mode molecules, and the coupled-cluster correction itself</w:t>
      </w:r>
    </w:p>
    <w:p>
      <w:r>
        <w:rPr>
          <w:b w:val="0"/>
          <w:i w:val="0"/>
        </w:rPr>
        <w:t>Two further follow-up cells were added (notebook section 8). First, the second route was run for every molecule the release rule had dropped for an imaginary mode: of 23 molecules read, 5 were healed (the finite-difference deck had flipped a soft substituent torsion; the analytic Hessian has it real) and 15 are genuine saddle points of the optimised geometry. The release rule now reads the analytic frequencies where a second route exists; the baseline retrained on the resulting 229-molecule release (layerA2_2026-09-24.npz) gives a ring-in-plane band-shift RMS of 5.4 cm⁻¹ against 20.3 for the zero rule (pair-head average precision 0.290), within the seed scatter of the main run. Second, a CCSD(T)/cc-pVDZ Hessian of benzene was read with the same parameter-free projections as the DFT proxy: the real correction is 92 % inside the pairwise local pattern of section 7 and 98 % once pairs two bonds apart are added, and only then are its ring couplings recovered (ratio to the zero rule 0.34 against 0.80; the proxy: 0.15 already at the smaller pattern). Verdict by the pre-registered rule: between — the coupled-cluster correction is local like the proxy, one bond further. For the mode-basis baseline of this report nothing changes, which is the finding; the pairwise local model of the next version gains one pair class.</w:t>
      </w:r>
    </w:p>
    <w:p>
      <w:r>
        <w:rPr>
          <w:b w:val="0"/>
          <w:i w:val="0"/>
        </w:rPr>
        <w:t>What was learned: a data-quality rule should be evidence per molecule rather than a blanket, the range-separated functional is the noisier finite-difference route, and the real target is local like the stand-in. All numbers trace to the notebook's section 8 and the project's dated notes.</w:t>
      </w:r>
    </w:p>
    <w:p>
      <w:pPr>
        <w:ind w:firstLine="0"/>
      </w:pPr>
      <w:r>
        <w:rPr>
          <w:b/>
          <w:i w:val="0"/>
        </w:rPr>
        <w:t>Addendum 3 (25 September 2026): how far the correction carries — across a molecule, across molecules, across size</w:t>
      </w:r>
    </w:p>
    <w:p>
      <w:r>
        <w:rPr>
          <w:b w:val="0"/>
          <w:i w:val="0"/>
        </w:rPr>
        <w:t>Three further pre-registered readings were added (notebook section 9), none of which retrains the baseline. E9: with the parent core's correction block carried over and only the Hessian columns of the atoms within two bonds of the substituent probed (25 % of the columns), the DFT–DFT correction of 182 substituted molecules comes back to 1.7 cm⁻¹ in corrected frequency (ring coupling ratio 0.13; the substituent's own atoms alone, 12 % of the columns, 2.2 cm⁻¹); the energy-only variant that a local coupled-cluster method can measure gives 1.9 cm⁻¹ when the near–far couplings come from the core. Verdict by the registered rule: PASS. E10: the same neighbourhood block taken from the smallest host of the substituent and transplanted onto every other host gives 3.75 cm⁻¹ under the registered donor rule (BETWEEN) and 3.36 with a torsion-matched donor, against a ceiling of 1.92 with the receiver's own block; 11 of 15 substituent types are within the bars, the rotors (CH3, OCH3, SH, CONH2) are not. Size extrapolation: section 7's pair model trained on molecules of at most 26 atoms predicts the 45 molecules of 27–34 atoms at ring coupling ratio 0.66 → 0.59 and corrected-frequency RMS 6.6 → 5.8 cm⁻¹ for 45 → 161 training molecules (within-size control 0.36, 4.4) — encouraging on the registered bars, at the edge on the ratio.</w:t>
      </w:r>
    </w:p>
    <w:p>
      <w:r>
        <w:rPr>
          <w:b w:val="0"/>
          <w:i w:val="0"/>
        </w:rPr>
        <w:t>What was learned: locality makes the labels additive across a molecule and, for rigid substituents, across molecules, so the price of an expensive label scales with the environment rather than the molecule; small molecules teach large ones, more slowly than they teach each other; and the proof that the network learns is a pre-registered learning curve, which started on the corpus's layer B the same morning. All numbers trace to notebook section 9 and the dated notes.</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