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jc w:val="center"/>
      </w:pPr>
      <w:r>
        <w:rPr>
          <w:b/>
          <w:i w:val="0"/>
        </w:rPr>
        <w:t>Can a Model Learn the Error of Scaled-Harmonic DFT? A Leave-One-Molecule-Out Regression on Paired Computed and Laboratory PAH Bands</w:t>
      </w:r>
    </w:p>
    <w:p>
      <w:pPr>
        <w:ind w:firstLine="0"/>
      </w:pPr>
      <w:r>
        <w:rPr>
          <w:b w:val="0"/>
          <w:i w:val="0"/>
        </w:rPr>
      </w:r>
    </w:p>
    <w:p>
      <w:pPr>
        <w:ind w:firstLine="0"/>
        <w:jc w:val="center"/>
      </w:pPr>
      <w:r>
        <w:rPr>
          <w:b w:val="0"/>
          <w:i w:val="0"/>
        </w:rPr>
        <w:t>Frederic Petrignani</w:t>
      </w:r>
    </w:p>
    <w:p>
      <w:pPr>
        <w:ind w:firstLine="0"/>
        <w:jc w:val="center"/>
      </w:pPr>
      <w:r>
        <w:rPr>
          <w:b w:val="0"/>
          <w:i w:val="0"/>
        </w:rPr>
        <w:t>Udacity AI Mastery Capstone</w:t>
      </w:r>
    </w:p>
    <w:p>
      <w:pPr>
        <w:ind w:firstLine="0"/>
        <w:jc w:val="center"/>
      </w:pPr>
      <w:r>
        <w:rPr>
          <w:b w:val="0"/>
          <w:i w:val="0"/>
        </w:rPr>
        <w:t>Module 04 — Applied Machine Learning: Model Design, Training, and Performance Evaluation</w:t>
      </w:r>
    </w:p>
    <w:p>
      <w:pPr>
        <w:ind w:firstLine="0"/>
        <w:jc w:val="center"/>
      </w:pPr>
      <w:r>
        <w:rPr>
          <w:b w:val="0"/>
          <w:i w:val="0"/>
        </w:rPr>
        <w:t>Machine Learning Analysis Report</w:t>
      </w:r>
    </w:p>
    <w:p>
      <w:pPr>
        <w:ind w:firstLine="0"/>
        <w:jc w:val="center"/>
      </w:pPr>
      <w:r>
        <w:rPr>
          <w:b w:val="0"/>
          <w:i w:val="0"/>
        </w:rPr>
        <w:t>12 September 2026, revised 17 October 2026</w:t>
      </w:r>
    </w:p>
    <w:p>
      <w:r>
        <w:br w:type="page"/>
      </w:r>
    </w:p>
    <w:p>
      <w:pPr>
        <w:ind w:firstLine="0"/>
        <w:jc w:val="center"/>
      </w:pPr>
      <w:r>
        <w:rPr>
          <w:b/>
          <w:i w:val="0"/>
        </w:rPr>
        <w:t>Can a Model Learn the Error of Scaled-Harmonic DFT? A Leave-One-Molecule-Out Regression on Paired Computed and Laboratory PAH Bands</w:t>
      </w:r>
    </w:p>
    <w:p>
      <w:pPr>
        <w:ind w:firstLine="0"/>
        <w:jc w:val="center"/>
      </w:pPr>
      <w:r>
        <w:rPr>
          <w:b/>
        </w:rPr>
        <w:t>Overview</w:t>
      </w:r>
    </w:p>
    <w:p>
      <w:r>
        <w:rPr>
          <w:b w:val="0"/>
          <w:i w:val="0"/>
        </w:rPr>
        <w:t>I addressed a supervised regression problem: predicting, per infrared band of a polycyclic aromatic hydrocarbon (PAH), the error that NASA's library of scaled-harmonic computed spectra makes against the laboratory band position, from descriptors of the band and the molecule alone. The dataset is a paired table I derived from two public libraries of the NASA Ames PAH IR Spectroscopic Database: the computed library version 4.00 (https://www.astrochemistry.org/pahdb/theoretical/4.00; Ricca et al., 2026) and the experimental, argon-matrix library version 3.10 (https://www.astrochemistry.org/pahdb/experimental/3.10; Mattioda et al., 2020). I trained and compared a per-family constant, a ridge regression and a gradient-boosted tree ensemble against the uncorrected library, under a recipe fixed before the first run.</w:t>
      </w:r>
    </w:p>
    <w:p>
      <w:r>
        <w:rPr>
          <w:b w:val="0"/>
          <w:i w:val="0"/>
        </w:rPr>
        <w:t>For a reader without chemistry: a molecule's infrared spectrum is the list of colours, called band positions and given in the unit cm⁻¹, at which it absorbs infrared light. NASA's library computes these positions and multiplies them by a fixed number slightly below one, a scale factor, to bring them closer to measurements. This report asks whether a machine-learning model can predict the error that remains, band by band, from simple facts about the band and the molecule. Each model is judged on molecules it never saw, by how far its corrected positions still are from the laboratory ones. A one-page glossary accompanies the modules (https://github.com/thebreadishard/udacity-capstone-plan/blob/master/plans/05_delta-probed-ir-pipeline/modules/GLOSSARY.md).</w:t>
      </w:r>
    </w:p>
    <w:p>
      <w:pPr>
        <w:ind w:firstLine="0"/>
        <w:jc w:val="center"/>
      </w:pPr>
      <w:r>
        <w:rPr>
          <w:b/>
        </w:rPr>
        <w:t>Dataset Description</w:t>
      </w:r>
    </w:p>
    <w:p>
      <w:r>
        <w:rPr>
          <w:b w:val="0"/>
          <w:i w:val="0"/>
        </w:rPr>
        <w:t>Each row pairs one laboratory band with the computed band of the same molecule that the fixed join rule assigns to it (nearest free computed band with intensity of at least 1 km/mol within ±30 cm⁻¹, laboratory bands taken in descending intensity, one-to-one). The table has 2,477 rows and 28 columns for 83 molecules of 10 to 50 carbon atoms, neutral, cationic and anionic. The target is y = ν(lab) − ν(scaled), in cm⁻¹; its mean is +0.55, its standard deviation 9.24, and the mean absolute error of the uncorrected library is 6.49 cm⁻¹. Features per band are the unscaled harmonic frequency, the logarithm of the computed intensity, the relative intensity within the molecule, the stored scale-factor region and a frequency-range family label; per molecule the carbon and hydrogen counts, the charge, a nitrogen flag and four hydrogen-adjacency counts. No laboratory quantity is a feature. The table is derived from public measured and computed science data, is not AI-generated, and differs from my Module 02 dataset (the computed library) and my Module 03 dataset (the laboratory bands): the pairing exists in neither.</w:t>
      </w:r>
    </w:p>
    <w:p>
      <w:pPr>
        <w:ind w:firstLine="0"/>
        <w:jc w:val="center"/>
      </w:pPr>
      <w:r>
        <w:rPr>
          <w:b/>
        </w:rPr>
        <w:t>Modeling Approach</w:t>
      </w:r>
    </w:p>
    <w:p>
      <w:r>
        <w:rPr>
          <w:b w:val="0"/>
          <w:i w:val="0"/>
        </w:rPr>
        <w:t>Preparation. The table has no missing values. The two categorical columns (family, scale-factor region) are one-hot encoded; the numeric features are standardised for the ridge model, whose penalty depends on feature scale, and passed through unchanged to the tree ensemble, which is invariant to monotone rescaling. The molecule identifier is kept as the grouping variable for the split and never used as a feature.</w:t>
      </w:r>
    </w:p>
    <w:p>
      <w:r>
        <w:rPr>
          <w:b w:val="0"/>
          <w:i w:val="0"/>
        </w:rPr>
        <w:t>Model selection. Four models were fixed in advance. The zero model predicts no correction and is the reference: it is the library as served. The per-family constant predicts each family's mean error in the training fold, the simplest recalibration of the scale factors. Ridge regression (Hoerl &amp; Kennard, 1970) is the transparent linear baseline. Gradient-boosted trees (Friedman, 2001), in scikit-learn's histogram implementation (Pedregosa et al., 2011) with library defaults, can represent interactions between size, family and intensity that a linear model cannot. No hyper-parameter search was run: the recipe set the tuning budget to zero so that the baseline is reproducible from the defaults, with the random seed 0. The approach follows the machine-learning correction of DFT scale factors published by Bos et al. (2025), implemented independently on the public library's own frequencies.</w:t>
      </w:r>
    </w:p>
    <w:p>
      <w:r>
        <w:rPr>
          <w:b w:val="0"/>
          <w:i w:val="0"/>
        </w:rPr>
        <w:t>Evaluation. Bands of one molecule share that molecule's systematic error, so a random split of bands would place a molecule on both sides and reward memorising it; grouped cross-validation, holding out whole clusters, is the appropriate design when observations are structured in this way (Roberts et al., 2017). I therefore used leave-one-molecule-out: 83 folds, each molecule predicted by models that never saw any of its bands. The primary metric is the mean absolute error (MAE) of the corrected position against the laboratory band, because the larger project scores per-band absolute errors and the MAE is the plain average of their size (Willmott &amp; Matsuura, 2005); the root-mean-square error, the coefficient of determination R² and the share of bands within 5 cm⁻¹ are reported beside it. The models assume that the descriptors carry information about the error, that pairs within a fold are exchangeable, and, for ridge, that the relation is additive in the features.</w:t>
      </w:r>
    </w:p>
    <w:p>
      <w:pPr>
        <w:ind w:firstLine="0"/>
        <w:jc w:val="center"/>
      </w:pPr>
      <w:r>
        <w:rPr>
          <w:b/>
        </w:rPr>
        <w:t>Results</w:t>
      </w:r>
    </w:p>
    <w:p>
      <w:pPr>
        <w:ind w:firstLine="0"/>
      </w:pPr>
      <w:r>
        <w:rPr>
          <w:i/>
          <w:sz w:val="20"/>
        </w:rPr>
        <w:t>Table 1. Held-out performance, leave-one-molecule-out over 83 molecules and 2,477 pairs.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model</w:t>
            </w:r>
          </w:p>
        </w:tc>
        <w:tc>
          <w:tcPr>
            <w:tcW w:type="dxa" w:w="1872"/>
          </w:tcPr>
          <w:p>
            <w:r/>
            <w:r>
              <w:rPr>
                <w:b/>
                <w:sz w:val="18"/>
              </w:rPr>
              <w:t>MAE (cm⁻¹)</w:t>
            </w:r>
          </w:p>
        </w:tc>
        <w:tc>
          <w:tcPr>
            <w:tcW w:type="dxa" w:w="1872"/>
          </w:tcPr>
          <w:p>
            <w:r/>
            <w:r>
              <w:rPr>
                <w:b/>
                <w:sz w:val="18"/>
              </w:rPr>
              <w:t>RMSE (cm⁻¹)</w:t>
            </w:r>
          </w:p>
        </w:tc>
        <w:tc>
          <w:tcPr>
            <w:tcW w:type="dxa" w:w="1872"/>
          </w:tcPr>
          <w:p>
            <w:r/>
            <w:r>
              <w:rPr>
                <w:b/>
                <w:sz w:val="18"/>
              </w:rPr>
              <w:t>R²</w:t>
            </w:r>
          </w:p>
        </w:tc>
        <w:tc>
          <w:tcPr>
            <w:tcW w:type="dxa" w:w="1872"/>
          </w:tcPr>
          <w:p>
            <w:r/>
            <w:r>
              <w:rPr>
                <w:b/>
                <w:sz w:val="18"/>
              </w:rPr>
              <w:t>within 5 cm⁻¹</w:t>
            </w:r>
          </w:p>
        </w:tc>
      </w:tr>
      <w:tr>
        <w:tc>
          <w:tcPr>
            <w:tcW w:type="dxa" w:w="1872"/>
          </w:tcPr>
          <w:p>
            <w:r/>
            <w:r>
              <w:rPr>
                <w:sz w:val="18"/>
              </w:rPr>
              <w:t>zero model (library as served)</w:t>
            </w:r>
          </w:p>
        </w:tc>
        <w:tc>
          <w:tcPr>
            <w:tcW w:type="dxa" w:w="1872"/>
          </w:tcPr>
          <w:p>
            <w:r/>
            <w:r>
              <w:rPr>
                <w:sz w:val="18"/>
              </w:rPr>
              <w:t>6.49</w:t>
            </w:r>
          </w:p>
        </w:tc>
        <w:tc>
          <w:tcPr>
            <w:tcW w:type="dxa" w:w="1872"/>
          </w:tcPr>
          <w:p>
            <w:r/>
            <w:r>
              <w:rPr>
                <w:sz w:val="18"/>
              </w:rPr>
              <w:t>9.26</w:t>
            </w:r>
          </w:p>
        </w:tc>
        <w:tc>
          <w:tcPr>
            <w:tcW w:type="dxa" w:w="1872"/>
          </w:tcPr>
          <w:p>
            <w:r/>
            <w:r>
              <w:rPr>
                <w:sz w:val="18"/>
              </w:rPr>
              <w:t>-0.004</w:t>
            </w:r>
          </w:p>
        </w:tc>
        <w:tc>
          <w:tcPr>
            <w:tcW w:type="dxa" w:w="1872"/>
          </w:tcPr>
          <w:p>
            <w:r/>
            <w:r>
              <w:rPr>
                <w:sz w:val="18"/>
              </w:rPr>
              <w:t>57.0%</w:t>
            </w:r>
          </w:p>
        </w:tc>
      </w:tr>
      <w:tr>
        <w:tc>
          <w:tcPr>
            <w:tcW w:type="dxa" w:w="1872"/>
          </w:tcPr>
          <w:p>
            <w:r/>
            <w:r>
              <w:rPr>
                <w:sz w:val="18"/>
              </w:rPr>
              <w:t>per-family constant</w:t>
            </w:r>
          </w:p>
        </w:tc>
        <w:tc>
          <w:tcPr>
            <w:tcW w:type="dxa" w:w="1872"/>
          </w:tcPr>
          <w:p>
            <w:r/>
            <w:r>
              <w:rPr>
                <w:sz w:val="18"/>
              </w:rPr>
              <w:t>6.43</w:t>
            </w:r>
          </w:p>
        </w:tc>
        <w:tc>
          <w:tcPr>
            <w:tcW w:type="dxa" w:w="1872"/>
          </w:tcPr>
          <w:p>
            <w:r/>
            <w:r>
              <w:rPr>
                <w:sz w:val="18"/>
              </w:rPr>
              <w:t>9.22</w:t>
            </w:r>
          </w:p>
        </w:tc>
        <w:tc>
          <w:tcPr>
            <w:tcW w:type="dxa" w:w="1872"/>
          </w:tcPr>
          <w:p>
            <w:r/>
            <w:r>
              <w:rPr>
                <w:sz w:val="18"/>
              </w:rPr>
              <w:t>0.004</w:t>
            </w:r>
          </w:p>
        </w:tc>
        <w:tc>
          <w:tcPr>
            <w:tcW w:type="dxa" w:w="1872"/>
          </w:tcPr>
          <w:p>
            <w:r/>
            <w:r>
              <w:rPr>
                <w:sz w:val="18"/>
              </w:rPr>
              <w:t>57.2%</w:t>
            </w:r>
          </w:p>
        </w:tc>
      </w:tr>
      <w:tr>
        <w:tc>
          <w:tcPr>
            <w:tcW w:type="dxa" w:w="1872"/>
          </w:tcPr>
          <w:p>
            <w:r/>
            <w:r>
              <w:rPr>
                <w:sz w:val="18"/>
              </w:rPr>
              <w:t>ridge regression</w:t>
            </w:r>
          </w:p>
        </w:tc>
        <w:tc>
          <w:tcPr>
            <w:tcW w:type="dxa" w:w="1872"/>
          </w:tcPr>
          <w:p>
            <w:r/>
            <w:r>
              <w:rPr>
                <w:sz w:val="18"/>
              </w:rPr>
              <w:t>6.40</w:t>
            </w:r>
          </w:p>
        </w:tc>
        <w:tc>
          <w:tcPr>
            <w:tcW w:type="dxa" w:w="1872"/>
          </w:tcPr>
          <w:p>
            <w:r/>
            <w:r>
              <w:rPr>
                <w:sz w:val="18"/>
              </w:rPr>
              <w:t>9.21</w:t>
            </w:r>
          </w:p>
        </w:tc>
        <w:tc>
          <w:tcPr>
            <w:tcW w:type="dxa" w:w="1872"/>
          </w:tcPr>
          <w:p>
            <w:r/>
            <w:r>
              <w:rPr>
                <w:sz w:val="18"/>
              </w:rPr>
              <w:t>0.008</w:t>
            </w:r>
          </w:p>
        </w:tc>
        <w:tc>
          <w:tcPr>
            <w:tcW w:type="dxa" w:w="1872"/>
          </w:tcPr>
          <w:p>
            <w:r/>
            <w:r>
              <w:rPr>
                <w:sz w:val="18"/>
              </w:rPr>
              <w:t>58.1%</w:t>
            </w:r>
          </w:p>
        </w:tc>
      </w:tr>
      <w:tr>
        <w:tc>
          <w:tcPr>
            <w:tcW w:type="dxa" w:w="1872"/>
          </w:tcPr>
          <w:p>
            <w:r/>
            <w:r>
              <w:rPr>
                <w:sz w:val="18"/>
              </w:rPr>
              <w:t>gradient-boosted trees</w:t>
            </w:r>
          </w:p>
        </w:tc>
        <w:tc>
          <w:tcPr>
            <w:tcW w:type="dxa" w:w="1872"/>
          </w:tcPr>
          <w:p>
            <w:r/>
            <w:r>
              <w:rPr>
                <w:sz w:val="18"/>
              </w:rPr>
              <w:t>6.48</w:t>
            </w:r>
          </w:p>
        </w:tc>
        <w:tc>
          <w:tcPr>
            <w:tcW w:type="dxa" w:w="1872"/>
          </w:tcPr>
          <w:p>
            <w:r/>
            <w:r>
              <w:rPr>
                <w:sz w:val="18"/>
              </w:rPr>
              <w:t>9.26</w:t>
            </w:r>
          </w:p>
        </w:tc>
        <w:tc>
          <w:tcPr>
            <w:tcW w:type="dxa" w:w="1872"/>
          </w:tcPr>
          <w:p>
            <w:r/>
            <w:r>
              <w:rPr>
                <w:sz w:val="18"/>
              </w:rPr>
              <w:t>-0.003</w:t>
            </w:r>
          </w:p>
        </w:tc>
        <w:tc>
          <w:tcPr>
            <w:tcW w:type="dxa" w:w="1872"/>
          </w:tcPr>
          <w:p>
            <w:r/>
            <w:r>
              <w:rPr>
                <w:sz w:val="18"/>
              </w:rPr>
              <w:t>56.4%</w:t>
            </w:r>
          </w:p>
        </w:tc>
      </w:tr>
    </w:tbl>
    <w:p/>
    <w:p>
      <w:pPr>
        <w:ind w:firstLine="0"/>
        <w:jc w:val="center"/>
      </w:pPr>
      <w:r>
        <w:drawing>
          <wp:inline xmlns:a="http://schemas.openxmlformats.org/drawingml/2006/main" xmlns:pic="http://schemas.openxmlformats.org/drawingml/2006/picture">
            <wp:extent cx="5486400" cy="2425566"/>
            <wp:docPr id="1" name="Picture 1"/>
            <wp:cNvGraphicFramePr>
              <a:graphicFrameLocks noChangeAspect="1"/>
            </wp:cNvGraphicFramePr>
            <a:graphic>
              <a:graphicData uri="http://schemas.openxmlformats.org/drawingml/2006/picture">
                <pic:pic>
                  <pic:nvPicPr>
                    <pic:cNvPr id="0" name="fig1_residuals.png"/>
                    <pic:cNvPicPr/>
                  </pic:nvPicPr>
                  <pic:blipFill>
                    <a:blip r:embed="rId12"/>
                    <a:stretch>
                      <a:fillRect/>
                    </a:stretch>
                  </pic:blipFill>
                  <pic:spPr>
                    <a:xfrm>
                      <a:off x="0" y="0"/>
                      <a:ext cx="5486400" cy="2425566"/>
                    </a:xfrm>
                    <a:prstGeom prst="rect"/>
                  </pic:spPr>
                </pic:pic>
              </a:graphicData>
            </a:graphic>
          </wp:inline>
        </w:drawing>
      </w:r>
    </w:p>
    <w:p>
      <w:pPr>
        <w:ind w:firstLine="0"/>
      </w:pPr>
      <w:r>
        <w:rPr>
          <w:i/>
          <w:sz w:val="20"/>
        </w:rPr>
        <w:t>Figure 1. Residual of the corrected band position against the laboratory band: uncorrected library versus gradient-boosted trees (held out).</w:t>
      </w:r>
    </w:p>
    <w:p>
      <w:pPr>
        <w:ind w:firstLine="0"/>
        <w:jc w:val="center"/>
      </w:pPr>
      <w:r>
        <w:drawing>
          <wp:inline xmlns:a="http://schemas.openxmlformats.org/drawingml/2006/main" xmlns:pic="http://schemas.openxmlformats.org/drawingml/2006/picture">
            <wp:extent cx="5486400" cy="2541069"/>
            <wp:docPr id="2" name="Picture 2"/>
            <wp:cNvGraphicFramePr>
              <a:graphicFrameLocks noChangeAspect="1"/>
            </wp:cNvGraphicFramePr>
            <a:graphic>
              <a:graphicData uri="http://schemas.openxmlformats.org/drawingml/2006/picture">
                <pic:pic>
                  <pic:nvPicPr>
                    <pic:cNvPr id="0" name="fig2_mae_by_family.png"/>
                    <pic:cNvPicPr/>
                  </pic:nvPicPr>
                  <pic:blipFill>
                    <a:blip r:embed="rId13"/>
                    <a:stretch>
                      <a:fillRect/>
                    </a:stretch>
                  </pic:blipFill>
                  <pic:spPr>
                    <a:xfrm>
                      <a:off x="0" y="0"/>
                      <a:ext cx="5486400" cy="2541069"/>
                    </a:xfrm>
                    <a:prstGeom prst="rect"/>
                  </pic:spPr>
                </pic:pic>
              </a:graphicData>
            </a:graphic>
          </wp:inline>
        </w:drawing>
      </w:r>
    </w:p>
    <w:p>
      <w:pPr>
        <w:ind w:firstLine="0"/>
      </w:pPr>
      <w:r>
        <w:rPr>
          <w:i/>
          <w:sz w:val="20"/>
        </w:rPr>
        <w:t>Figure 2. Held-out MAE per band family for the four models.</w:t>
      </w:r>
    </w:p>
    <w:p>
      <w:pPr>
        <w:ind w:firstLine="0"/>
        <w:jc w:val="center"/>
      </w:pPr>
      <w:r>
        <w:drawing>
          <wp:inline xmlns:a="http://schemas.openxmlformats.org/drawingml/2006/main" xmlns:pic="http://schemas.openxmlformats.org/drawingml/2006/picture">
            <wp:extent cx="4206240" cy="3527814"/>
            <wp:docPr id="3" name="Picture 3"/>
            <wp:cNvGraphicFramePr>
              <a:graphicFrameLocks noChangeAspect="1"/>
            </wp:cNvGraphicFramePr>
            <a:graphic>
              <a:graphicData uri="http://schemas.openxmlformats.org/drawingml/2006/picture">
                <pic:pic>
                  <pic:nvPicPr>
                    <pic:cNvPr id="0" name="fig3_pred_vs_actual.png"/>
                    <pic:cNvPicPr/>
                  </pic:nvPicPr>
                  <pic:blipFill>
                    <a:blip r:embed="rId14"/>
                    <a:stretch>
                      <a:fillRect/>
                    </a:stretch>
                  </pic:blipFill>
                  <pic:spPr>
                    <a:xfrm>
                      <a:off x="0" y="0"/>
                      <a:ext cx="4206240" cy="3527814"/>
                    </a:xfrm>
                    <a:prstGeom prst="rect"/>
                  </pic:spPr>
                </pic:pic>
              </a:graphicData>
            </a:graphic>
          </wp:inline>
        </w:drawing>
      </w:r>
    </w:p>
    <w:p>
      <w:pPr>
        <w:ind w:firstLine="0"/>
      </w:pPr>
      <w:r>
        <w:rPr>
          <w:i/>
          <w:sz w:val="20"/>
        </w:rPr>
        <w:t>Figure 3. Gradient-boosted trees: predicted against actual error, held out.</w:t>
      </w:r>
    </w:p>
    <w:p>
      <w:r>
        <w:rPr>
          <w:b w:val="0"/>
          <w:i w:val="0"/>
        </w:rPr>
        <w:t>No model learns the error (Table 1). The best held-out MAE, 6.40 cm⁻¹ for the ridge regression, improves on the uncorrected library's 6.49 by less than a tenth of a wavenumber; R² is at most 0.008, and the share of bands within 5 cm⁻¹ moves from 57.0% to 58.1%. Figure 1 shows the two residual distributions lying on top of each other, with the same heavy tails; Figure 2 shows that no family improves by more than a fraction of a wavenumber and that the tree model is slightly worse than doing nothing in some families; Figure 3 shows the predicted error hardly varying with the actual one. Two diagnostics locate the cause. An instance-level five-fold split, which lets a molecule sit on both sides, gives the trees an MAE of 6.65 cm⁻¹ — no better — so the failure is not a consequence of the strict split. And the error decomposes into a per-molecule offset with a standard deviation of 2.13 cm⁻¹ and band-to-band scatter within a molecule with a standard deviation of 9.06 cm⁻¹: what a molecule-level descriptor could predict is small, and the band-level descriptors do not predict the rest. Restricting to the 826 strong laboratory bands changes the picture only in level (MAE 5.21 uncorrected, 5.15 with trees). By the recipe's rule the baseline column for the larger project is the ridge regression; the uncertainty layer it provides is wide: 68 % of held-out absolute residuals lie within 6.8 cm⁻¹ and 95 % within 21.9 cm⁻¹.</w:t>
      </w:r>
    </w:p>
    <w:p>
      <w:r>
        <w:rPr>
          <w:b w:val="0"/>
          <w:i w:val="0"/>
        </w:rPr>
        <w:t>Follow-up of 3 October 2026. Under the project's later rule that every trained model uses a validation split with patience and records its best iteration (decision 51 of 27 September 2026), the tree model was rerun with early stopping (validation fraction 0.1, patience 10 iterations) in the same leave-one-molecule-out loop; the numbers of Table 1 stand as run. Result: MAE 6.34 cm⁻¹, RMSE 9.17, R² 0.016, 58.7% of bands within 5 cm⁻¹, with a median best iteration of 17 of 100 and no fold within 10 % of the cap. The trees stop over-fitting and land 0.06 cm⁻¹ below the ridge model, still within a tenth of a wavenumber of the uncorrected library, so the conclusion does not change. The baseline column stays the ridge model: the two differ by less than the noise of the comparison and ridge is the simpler model (decision of 4 October 2026).</w:t>
      </w:r>
    </w:p>
    <w:p>
      <w:pPr>
        <w:ind w:firstLine="0"/>
        <w:jc w:val="center"/>
      </w:pPr>
      <w:r>
        <w:rPr>
          <w:b/>
        </w:rPr>
        <w:t>Interpretation for a Non-Technical Audience</w:t>
      </w:r>
    </w:p>
    <w:p>
      <w:r>
        <w:rPr>
          <w:b w:val="0"/>
          <w:i w:val="0"/>
        </w:rPr>
        <w:t>Computers can predict where a molecule's infrared "fingerprint" lines fall, but the predictions are a little off, and chemists routinely multiply them by a correction factor to bring them closer to what is measured. I asked whether a computer program could learn a smarter correction: given simple facts about a line and its molecule, can it guess how far off the prediction is for that particular line? The answer, tested fairly by always hiding the molecule being judged, is no. The learned corrections were no better than the plain correction factors already built into the library, and the reason is visible in the data: the remaining errors do not follow the size of the molecule or the type of line in any pattern the program could find. For my larger project this is useful rather than disappointing. It means the bar that a physics-based improvement has to clear is the library itself, about six and a half wavenumbers of typical error, and it means that the only way to do better is to compute the missing physics rather than to fit around it.</w:t>
      </w:r>
    </w:p>
    <w:p>
      <w:pPr>
        <w:ind w:firstLine="0"/>
        <w:jc w:val="center"/>
      </w:pPr>
      <w:r>
        <w:rPr>
          <w:b/>
        </w:rPr>
        <w:t>Limitations and Potential Bias</w:t>
      </w:r>
    </w:p>
    <w:p>
      <w:r>
        <w:rPr>
          <w:b w:val="0"/>
          <w:i w:val="0"/>
        </w:rPr>
        <w:t>Limitations. The pairing of laboratory and computed bands is itself a model: a fixed nearest-neighbour rule within a window. About 12% of pairs have an error above 15 cm⁻¹, larger than the published scale of scaled-DFT-versus-matrix mismatch for these molecules (typically within 5, at worst about 15 cm⁻¹; Hudgins &amp; Sandford, 1998), so a fraction of the pairs are probably mis-assigned; such pairs inflate every model's error equally and cap the attainable R². The laboratory side is argon-matrix data, not gas phase, so the learned correction, had there been one, would have been a matrix-calibrated one. Only 83 molecules of at most 50 carbon atoms are available, and the four test molecules of the larger project are among them. The metrics are averages over bands of unequal reliability, weak and strong alike.</w:t>
      </w:r>
    </w:p>
    <w:p>
      <w:r>
        <w:rPr>
          <w:b w:val="0"/>
          <w:i w:val="0"/>
        </w:rPr>
        <w:t>Bias and responsible use. The dataset over-represents the molecules that laboratory groups chose to measure — mostly compact, neutral or singly charged PAHs of 10 to 50 carbons — and any model trained on it would carry that selection into predictions for larger or differently shaped molecules — a sampling bias in the sense of Mehrabi et al. (2021). A second risk is specific to my project: this baseline is the opponent my own method will be compared with, so I had an interest in a weak baseline. The step taken against that interest was to fix the recipe — target, join, features, models, split, metrics, zero tuning and the rule for choosing the baseline column — in a note committed to version control before the first training run, and to report the diagnostics that would have exposed a split artefact. A stricter pairing rule is a plausible improvement, and it will be decided on its own merits before its effect on the model ranking is looked at.</w:t>
      </w:r>
    </w:p>
    <w:p>
      <w:r>
        <w:rPr>
          <w:b w:val="0"/>
          <w:i w:val="0"/>
        </w:rPr>
        <w:t>Use of AI assistance. This module was planned, coded and written with Claude (Anthropic) as an assistant under my direction; every run and decision is mine, every number traces to a named script and commit in the repository, and the text was revised against the actual outputs.</w:t>
      </w:r>
    </w:p>
    <w:p>
      <w:r>
        <w:br w:type="page"/>
      </w:r>
    </w:p>
    <w:p>
      <w:pPr>
        <w:ind w:firstLine="0"/>
        <w:jc w:val="center"/>
      </w:pPr>
      <w:r>
        <w:rPr>
          <w:b/>
        </w:rPr>
        <w:t>References</w:t>
      </w:r>
    </w:p>
    <w:p>
      <w:pPr>
        <w:ind w:hanging="720" w:left="720"/>
      </w:pPr>
      <w:r>
        <w:t>Bos, R., King, M., Calangian, A. J., Davin, K. A., McCraley, S., Putnam, R. A., Manjarrés, J., &amp; Stoneburner, S. J. (2025). Ethereal AI: Infrared spectra of polycyclic aromatic hydrocarbons with machine learning DFT scaling factors. ACS Omega, 10(50), 62282–62290. https://doi.org/10.1021/acsomega.5c10225</w:t>
      </w:r>
    </w:p>
    <w:p>
      <w:pPr>
        <w:ind w:hanging="720" w:left="720"/>
      </w:pPr>
      <w:r>
        <w:t>Friedman, J. H. (2001). Greedy function approximation: A gradient boosting machine. The Annals of Statistics, 29(5), 1189–1232. https://doi.org/10.1214/aos/1013203451</w:t>
      </w:r>
    </w:p>
    <w:p>
      <w:pPr>
        <w:ind w:hanging="720" w:left="720"/>
      </w:pPr>
      <w:r>
        <w:t>Hoerl, A. E., &amp; Kennard, R. W. (1970). Ridge regression: Biased estimation for nonorthogonal problems. Technometrics, 12(1), 55–67. https://doi.org/10.1080/00401706.1970.10488634</w:t>
      </w:r>
    </w:p>
    <w:p>
      <w:pPr>
        <w:ind w:hanging="720" w:left="720"/>
      </w:pPr>
      <w:r>
        <w:t>Hudgins, D. M., &amp; Sandford, S. A. (1998). Infrared spectroscopy of matrix isolated polycyclic aromatic hydrocarbons. 1. PAHs containing two to four rings. The Journal of Physical Chemistry A, 102(2), 329–343. https://doi.org/10.1021/jp9834816</w:t>
      </w:r>
    </w:p>
    <w:p>
      <w:pPr>
        <w:ind w:hanging="720" w:left="720"/>
      </w:pPr>
      <w:r>
        <w:t>Mattioda, A. L., Hudgins, D. M., Boersma, C., Bauschlicher, C. W., Jr., Ricca, A., Cami, J., Peeters, E., Sánchez de Armas, F., Puerta Saborido, G., &amp; Allamandola, L. J. (2020). The NASA Ames PAH IR Spectroscopic Database: The laboratory spectra. The Astrophysical Journal Supplement Series, 251(2), 22. https://doi.org/10.3847/1538-4365/abc2c8</w:t>
      </w:r>
    </w:p>
    <w:p>
      <w:pPr>
        <w:ind w:hanging="720" w:left="720"/>
      </w:pPr>
      <w:r>
        <w:t>Mehrabi, N., Morstatter, F., Saxena, N., Lerman, K., &amp; Galstyan, A. (2021). A survey on bias and fairness in machine learning. ACM Computing Surveys, 54(6), Article 115. https://doi.org/10.1145/3457607</w:t>
      </w:r>
    </w:p>
    <w:p>
      <w:pPr>
        <w:ind w:hanging="720" w:left="72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ind w:hanging="720" w:left="720"/>
      </w:pPr>
      <w:r>
        <w:t>Ricca, A., Boersma, C., Maragkoudakis, A., Roser, J. E., Shannon, M. J., Allamandola, L. J., &amp; Bauschlicher, C. W., Jr. (2026). The NASA Ames PAH IR Spectroscopic Database: Computational version 4.00, software tools, website, and documentation. The Astrophysical Journal Supplement Series, 282(1), 7. https://doi.org/10.3847/1538-4365/ae1c38</w:t>
      </w:r>
    </w:p>
    <w:p>
      <w:pPr>
        <w:ind w:hanging="720" w:left="720"/>
      </w:pPr>
      <w:r>
        <w:t>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ind w:hanging="720" w:left="720"/>
      </w:pPr>
      <w:r>
        <w:t>Willmott, C. J., &amp; Matsuura, K. (2005). Advantages of the mean absolute error (MAE) over the root mean square error (RMSE) in assessing average model performance. Climate Research, 30(1), 79–82. https://doi.org/10.3354/cr030079</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