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2026-10-05 15:03;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For a reader without chemistry: The expensive calculations that anchor this project can be done in pieces: each piece (a 'pattern') costs one energy evaluation and reveals part of the table of couplings between vibrations. The question here is which pieces to measure first, so that the table is known after as few pieces as possible. 'Proxy level' means the rehearsal uses two cheap calculations standing in for the cheap and the expensive one; the test on real expensive responses is in sections 4c–4g. Terms are defined in ../../GLOSSARY.md.</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Coupled-cluster level: the test on real responses ran on benzene (29 September) and naphthalene (4 October). On both, the order the scorer proposes halves to a fifth the number of energies the wide pool needs on the real CC correction (P1/oracle 5.0 on naphthalene), while inside the registered spectral band neither molecule shows a gain. The in-band requirement was withdrawn on 4 October as mis-specified — the proposer serves the whole correction, which is what the network learns — and the band-free read is the registered line; both molecules pass it. The band pool's factor of five on the proxy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