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2026-09-30 12:48;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For a reader without chemistry: The expensive calculations that anchor this project can be done in pieces: each piece (a 'pattern') costs one energy evaluation and reveals part of the table of couplings between vibrations. The question here is which pieces to measure first, so that the table is known after as few pieces as possible. 'Proxy level' means the rehearsal uses two cheap calculations standing in for the cheap and the expensive one; the test on real expensive responses is in sections 4c–4g. Terms are defined in ../../GLOSSARY.md.</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Adaptive ordering, wide pool (follow-up of 28 September 2026). On the all-pairs candidate set the same paired test gives: P0+A against P0 a median ratio of 0.73 on the parents (strictly better on 78 %) and 0.72 on the substituted molecules; P1+A against P1 a median of 1.00, strictly better on 24–29 % of the parents (pass line 70 %: fails), and the AUC gain of the band pool is gone (median AUC ratio 0.99). Feedback closes 12 % of the log-gap from P1 to the oracle on the parents against a predicted third. What the adaptive loop can learn from the reconstruction, the scorer already knows before the first measurement; the lever is a better scorer, not an adaptive campaign, and the adaptive variants stay in the code as a measured negative.</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Coupled-cluster level: the test on real responses ran on benzene (29 September) and naphthalene (4 October). On both, the order the scorer proposes halves to a fifth the number of energies the wide pool needs on the real CC correction (P1/oracle 5.0 on naphthalene), while inside the registered spectral band neither molecule shows a gain. The in-band requirement was withdrawn on 4 October as mis-specified — the proposer serves the whole correction, which is what the network learns — and the band-free read is the registered line; both molecules pass it. The band pool's factor of five on the proxy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