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a48b4a9e4054c79" /><Relationship Type="http://schemas.openxmlformats.org/package/2006/relationships/metadata/core-properties" Target="/package/services/metadata/core-properties/708915303f9a4ced8f900051b92498b7.psmdcp" Id="R942db7c7112847a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5af5feb3a4984d83"/>
      <w:footerReference xmlns:r="http://schemas.openxmlformats.org/officeDocument/2006/relationships" w:type="default" r:id="R924f89cafb1840d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62f7238e4cb4ba8" /><Relationship Type="http://schemas.openxmlformats.org/officeDocument/2006/relationships/styles" Target="/word/styles.xml" Id="R02ec367fc71c4f9e" /><Relationship Type="http://schemas.openxmlformats.org/officeDocument/2006/relationships/settings" Target="/word/settings.xml" Id="R94b5ba6bba87498c" /><Relationship Type="http://schemas.openxmlformats.org/officeDocument/2006/relationships/header" Target="/word/header1.xml" Id="R5af5feb3a4984d83" /><Relationship Type="http://schemas.openxmlformats.org/officeDocument/2006/relationships/footer" Target="/word/footer1.xml" Id="R924f89cafb1840db" /></Relationships>
</file>