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fe1f273cc5417d" /><Relationship Type="http://schemas.openxmlformats.org/package/2006/relationships/metadata/core-properties" Target="/package/services/metadata/core-properties/54d28d95064f4809a4608e691a5e64cf.psmdcp" Id="Rc8fbf223f35f4ac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b2b70c37c9904439"/>
      <w:footerReference xmlns:r="http://schemas.openxmlformats.org/officeDocument/2006/relationships" w:type="default" r:id="R02ead056d09e484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e3ced5033ea4d55" /><Relationship Type="http://schemas.openxmlformats.org/officeDocument/2006/relationships/styles" Target="/word/styles.xml" Id="R114ae2529c2643bf" /><Relationship Type="http://schemas.openxmlformats.org/officeDocument/2006/relationships/settings" Target="/word/settings.xml" Id="R1a2591c30664470a" /><Relationship Type="http://schemas.openxmlformats.org/officeDocument/2006/relationships/header" Target="/word/header1.xml" Id="Rb2b70c37c9904439" /><Relationship Type="http://schemas.openxmlformats.org/officeDocument/2006/relationships/footer" Target="/word/footer1.xml" Id="R02ead056d09e484e" /></Relationships>
</file>