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fe7c7c9cc194304" /><Relationship Type="http://schemas.openxmlformats.org/package/2006/relationships/metadata/core-properties" Target="/package/services/metadata/core-properties/3267c01465b84bd0b2d05faffc2394c0.psmdcp" Id="R77b04d67cf1f432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interactive_tabbed_cont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Interactive Tabbed Content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82a10694e4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Specifications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Architecture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182a10694e40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section content.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These are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details.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2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system design.</w:t>
      </w:r>
    </w:p>
    <w:sectPr>
      <w:headerReference xmlns:r="http://schemas.openxmlformats.org/officeDocument/2006/relationships" w:type="default" r:id="R0af708a9e68c45db"/>
      <w:footerReference xmlns:r="http://schemas.openxmlformats.org/officeDocument/2006/relationships" w:type="default" r:id="R1ac73e897a974ef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Interactive Tabbed Content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c7c43f562a14e51" /><Relationship Type="http://schemas.openxmlformats.org/officeDocument/2006/relationships/styles" Target="/word/styles.xml" Id="R875c4c207955450f" /><Relationship Type="http://schemas.openxmlformats.org/officeDocument/2006/relationships/settings" Target="/word/settings.xml" Id="Re4f513250cb24bff" /><Relationship Type="http://schemas.openxmlformats.org/officeDocument/2006/relationships/header" Target="/word/header1.xml" Id="R0af708a9e68c45db" /><Relationship Type="http://schemas.openxmlformats.org/officeDocument/2006/relationships/footer" Target="/word/footer1.xml" Id="R1ac73e897a974ef8" /></Relationships>
</file>