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d265dd5a9b4272" /><Relationship Type="http://schemas.openxmlformats.org/package/2006/relationships/metadata/core-properties" Target="/package/services/metadata/core-properties/886fb7e7158e46ea8f990872b5c9b521.psmdcp" Id="R09acac5747be449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8f28d20fb984094"/>
      <w:footerReference xmlns:r="http://schemas.openxmlformats.org/officeDocument/2006/relationships" w:type="default" r:id="R8522367b6cb94486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69071b34e7d4370" /><Relationship Type="http://schemas.openxmlformats.org/officeDocument/2006/relationships/styles" Target="/word/styles.xml" Id="R8f4485ac67914d9c" /><Relationship Type="http://schemas.openxmlformats.org/officeDocument/2006/relationships/settings" Target="/word/settings.xml" Id="R78a27653b9564f69" /><Relationship Type="http://schemas.openxmlformats.org/officeDocument/2006/relationships/header" Target="/word/header1.xml" Id="R88f28d20fb984094" /><Relationship Type="http://schemas.openxmlformats.org/officeDocument/2006/relationships/footer" Target="/word/footer1.xml" Id="R8522367b6cb94486" /></Relationships>
</file>