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b2b30bc74e443a" /><Relationship Type="http://schemas.openxmlformats.org/package/2006/relationships/metadata/core-properties" Target="/package/services/metadata/core-properties/416f2093058f47748551ca2e8f26956b.psmdcp" Id="R40e77efb1afe4394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a9effea3606d44c7"/>
      <w:footerReference xmlns:r="http://schemas.openxmlformats.org/officeDocument/2006/relationships" w:type="default" r:id="Rf75e0d9bcf434679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bf1aee799ce49c0" /><Relationship Type="http://schemas.openxmlformats.org/officeDocument/2006/relationships/styles" Target="/word/styles.xml" Id="Rbf4a1a98dd814eeb" /><Relationship Type="http://schemas.openxmlformats.org/officeDocument/2006/relationships/settings" Target="/word/settings.xml" Id="Rc959c6adb8fb4673" /><Relationship Type="http://schemas.openxmlformats.org/officeDocument/2006/relationships/header" Target="/word/header1.xml" Id="Ra9effea3606d44c7" /><Relationship Type="http://schemas.openxmlformats.org/officeDocument/2006/relationships/footer" Target="/word/footer1.xml" Id="Rf75e0d9bcf434679" /></Relationships>
</file>