
<file path=[Content_Types].xml><?xml version="1.0" encoding="utf-8"?>
<Types xmlns="http://schemas.openxmlformats.org/package/2006/content-types">
  <Default Extension="xml" ContentType="application/vnd.openxmlformats-officedocument.extended-properties+xml"/>
  <Default Extension="psmdcp" ContentType="application/vnd.openxmlformats-package.core-properties+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customXml/item.xml" ContentType="application/xml"/>
</Types>
</file>

<file path=_rels/.rels>&#65279;<?xml version="1.0" encoding="utf-8"?><Relationships xmlns="http://schemas.openxmlformats.org/package/2006/relationships"><Relationship Type="http://schemas.openxmlformats.org/officeDocument/2006/relationships/extended-properties" Target="/docProps/app.xml" Id="Rb9c8e0eedf784656" /><Relationship Type="http://schemas.openxmlformats.org/officeDocument/2006/relationships/officeDocument" Target="/word/document.xml" Id="Rd20cca922fa64a2c" /><Relationship Type="http://schemas.openxmlformats.org/package/2006/relationships/metadata/core-properties" Target="/package/services/metadata/core-properties/f0755f97714144c39ff6fc307e8dcae4.psmdcp" Id="R0d270aee316447b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15="http://schemas.microsoft.com/office/word/2012/wordml" xmlns:a="http://schemas.openxmlformats.org/drawingml/2006/main" xmlns:wp="http://schemas.openxmlformats.org/drawingml/2006/wordprocessingDrawing" xmlns:pic="http://schemas.openxmlformats.org/drawingml/2006/picture" xmlns:c="http://schemas.openxmlformats.org/drawingml/2006/chart" xmlns:dgm="http://schemas.openxmlformats.org/drawingml/2006/diagram" xmlns:wpg="http://schemas.microsoft.com/office/word/2010/wordprocessingGroup" xmlns:wps="http://schemas.microsoft.com/office/word/2010/wordprocessingShape" xmlns:mc="http://schemas.openxmlformats.org/markup-compatibility/2006" mc:Ignorable="w14 w15">
  <w:background w:color="FFFFFF"/>
  <w:body>
    <w:p>
      <w:pPr>
        <w:pStyle w:val="Heading1"/>
      </w:pPr>
      <w:bookmarkStart w:name="H_the_marksmith_openxml_gauntlet" w:id="1"/>
      <w:r>
        <w:rPr>
          <mc:AlternateContent>
            <mc:Choice Requires="w14">
              <w14:ligatures w14:val="standardContextual"/>
              <w14:numForm w14:val="oldStyle"/>
              <w14:numSpacing w14:val="proportional"/>
              <w14:cntxtAlts/>
            </mc:Choice>
          </mc:AlternateContent>
        </w:rPr>
        <w:t xml:space="preserve">The MarkSmith OpenXML Gauntlet</w:t>
      </w:r>
      <w:bookmarkEnd w:id="1"/>
    </w:p>
    <w:p>
      <w:r>
        <w:rPr>
          <mc:AlternateContent>
            <mc:Choice Requires="w14">
              <w14:ligatures w14:val="standardContextual"/>
              <w14:numForm w14:val="oldStyle"/>
              <w14:numSpacing w14:val="proportional"/>
              <w14:cntxtAlts/>
            </mc:Choice>
          </mc:AlternateContent>
        </w:rPr>
        <w:t xml:space="preserve">This document is a stress-test for Markdown-to-OpenXML (DOCX) and PDF rendering pipelines. It compiles the most complex, nested, and historically "impossible" formatting tasks to verify visual parity, layout stability, and structural compliance.</w:t>
      </w:r>
    </w:p>
    <w:p>
      <w:pPr>
        <w:pBdr>
          <w:bottom w:val="wave" w:color="D1D5DA" w:sz="6" w:space="1"/>
        </w:pBdr>
      </w:pPr>
    </w:p>
    <w:p>
      <w:pPr>
        <w:pStyle w:val="Heading2"/>
      </w:pPr>
      <w:bookmarkStart w:name="H_advanced_mathematical_equations_l" w:id="2"/>
      <w:r>
        <w:rPr>
          <mc:AlternateContent>
            <mc:Choice Requires="w14">
              <w14:ligatures w14:val="standardContextual"/>
              <w14:numForm w14:val="oldStyle"/>
              <w14:numSpacing w14:val="proportional"/>
              <w14:cntxtAlts/>
            </mc:Choice>
          </mc:AlternateContent>
        </w:rPr>
        <w:t xml:space="preserve">1. Advanced Mathematical Equations (LaTeX to OMML)</w:t>
      </w:r>
      <w:bookmarkEnd w:id="2"/>
    </w:p>
    <w:p>
      <w:r>
        <w:rPr>
          <mc:AlternateContent>
            <mc:Choice Requires="w14">
              <w14:ligatures w14:val="standardContextual"/>
              <w14:numForm w14:val="oldStyle"/>
              <w14:numSpacing w14:val="proportional"/>
              <w14:cntxtAlts/>
            </mc:Choice>
          </mc:AlternateContent>
        </w:rPr>
        <w:t xml:space="preserve">Microsoft Word historically struggled with importing LaTeX math directly. Marksmith parses LaTeX math blocks and translates them into native Office Math Markup Language (OMML) objects.</w:t>
      </w:r>
    </w:p>
    <w:p>
      <w:pPr>
        <w:pStyle w:val="Heading3"/>
      </w:pPr>
      <w:bookmarkStart w:name="H_multiline_block_math_with_matrice" w:id="3"/>
      <w:r>
        <w:rPr>
          <mc:AlternateContent>
            <mc:Choice Requires="w14">
              <w14:ligatures w14:val="standardContextual"/>
              <w14:numForm w14:val="oldStyle"/>
              <w14:numSpacing w14:val="proportional"/>
              <w14:cntxtAlts/>
            </mc:Choice>
          </mc:AlternateContent>
        </w:rPr>
        <w:t xml:space="preserve">1.1. Multiline Block Math with Matrices and Alignment</w:t>
      </w:r>
      <w:bookmarkEnd w:id="3"/>
    </w:p>
    <w:p>
      <w:r>
        <w:rPr>
          <mc:AlternateContent>
            <mc:Choice Requires="w14">
              <w14:ligatures w14:val="standardContextual"/>
              <w14:numForm w14:val="oldStyle"/>
              <w14:numSpacing w14:val="proportional"/>
              <w14:cntxtAlts/>
            </mc:Choice>
          </mc:AlternateContent>
        </w:rPr>
        <w:t xml:space="preserve">A complex Schrödinger equation with a Hamiltonian matrix operator:</w:t>
      </w:r>
    </w:p>
    <w:p>
      <w:pPr>
        <w:spacing w:before="120" w:after="120"/>
        <w:jc w:val="center"/>
      </w:pPr>
      <m:oMath>
        <m:r>
          <m:t xml:space="preserve">i</m:t>
        </m:r>
        <m:r>
          <m:t xml:space="preserve">ℏ</m:t>
        </m:r>
        <m:f>
          <m:num>
            <m:r>
              <m:t xml:space="preserve">∂</m:t>
            </m:r>
          </m:num>
          <m:den>
            <m:r>
              <m:t xml:space="preserve">∂</m:t>
            </m:r>
            <m:r>
              <m:t xml:space="preserve">t</m:t>
            </m:r>
          </m:den>
        </m:f>
        <m:r>
          <m:t xml:space="preserve">Ψ</m:t>
        </m:r>
        <m:r>
          <m:t xml:space="preserve">(</m:t>
        </m:r>
        <m:r>
          <m:rPr>
            <m:sty m:val="b"/>
          </m:rPr>
          <m:t xml:space="preserve">r</m:t>
        </m:r>
        <m:r>
          <m:t xml:space="preserve">,</m:t>
        </m:r>
        <m:r>
          <m:t xml:space="preserve">t</m:t>
        </m:r>
        <m:r>
          <m:t xml:space="preserve">)</m:t>
        </m:r>
        <m:r>
          <m:t xml:space="preserve">=</m:t>
        </m:r>
        <m:r>
          <m:t xml:space="preserve">Ĥ</m:t>
        </m:r>
        <m:r>
          <m:t xml:space="preserve">Ψ</m:t>
        </m:r>
        <m:r>
          <m:t xml:space="preserve">(</m:t>
        </m:r>
        <m:r>
          <m:rPr>
            <m:sty m:val="b"/>
          </m:rPr>
          <m:t xml:space="preserve">r</m:t>
        </m:r>
        <m:r>
          <m:t xml:space="preserve">,</m:t>
        </m:r>
        <m:r>
          <m:t xml:space="preserve">t</m:t>
        </m:r>
        <m:r>
          <m:t xml:space="preserve">)</m:t>
        </m:r>
      </m:oMath>
    </w:p>
    <w:p>
      <w:r>
        <w:rPr>
          <mc:AlternateContent>
            <mc:Choice Requires="w14">
              <w14:ligatures w14:val="standardContextual"/>
              <w14:numForm w14:val="oldStyle"/>
              <w14:numSpacing w14:val="proportional"/>
              <w14:cntxtAlts/>
            </mc:Choice>
          </mc:AlternateContent>
        </w:rPr>
        <w:t xml:space="preserve">Where the Hamiltonian matrix </w:t>
      </w:r>
      <m:oMath>
        <m:r>
          <m:t xml:space="preserve">Ĥ</m:t>
        </m:r>
      </m:oMath>
      <w:r>
        <w:rPr>
          <mc:AlternateContent>
            <mc:Choice Requires="w14">
              <w14:ligatures w14:val="standardContextual"/>
              <w14:numForm w14:val="oldStyle"/>
              <w14:numSpacing w14:val="proportional"/>
              <w14:cntxtAlts/>
            </mc:Choice>
          </mc:AlternateContent>
        </w:rPr>
        <w:t xml:space="preserve"> is defined in a discrete 3D basis:</w:t>
      </w:r>
    </w:p>
    <w:p>
      <w:pPr>
        <w:spacing w:before="120" w:after="120"/>
        <w:jc w:val="center"/>
      </w:pPr>
      <m:oMath>
        <m:r>
          <m:t xml:space="preserve">Ĥ</m:t>
        </m:r>
        <m:r>
          <m:t xml:space="preserve">=</m:t>
        </m:r>
        <m:d>
          <m:dPr>
            <m:begChr m:val="("/>
            <m:endChr m:val=")"/>
          </m:dPr>
          <m:e>
            <m:m>
              <m:mPr>
                <m:plcHide m:val="1"/>
              </m:mPr>
              <m:mr>
                <m:e>
                  <m:sSub>
                    <m:e>
                      <m:r>
                        <m:t xml:space="preserve">E</m:t>
                      </m:r>
                    </m:e>
                    <m:sub>
                      <m:r>
                        <m:t xml:space="preserve">0</m:t>
                      </m:r>
                    </m:sub>
                  </m:sSub>
                  <m:r>
                    <m:t xml:space="preserve">+</m:t>
                  </m:r>
                  <m:sSub>
                    <m:e>
                      <m:r>
                        <m:t xml:space="preserve">V</m:t>
                      </m:r>
                    </m:e>
                    <m:sub>
                      <m:r>
                        <m:t xml:space="preserve">1</m:t>
                      </m:r>
                    </m:sub>
                  </m:sSub>
                </m:e>
                <m:e>
                  <m:r>
                    <m:t xml:space="preserve">-</m:t>
                  </m:r>
                  <m:sSub>
                    <m:e>
                      <m:r>
                        <m:t xml:space="preserve">t</m:t>
                      </m:r>
                    </m:e>
                    <m:sub>
                      <m:r>
                        <m:t xml:space="preserve">1</m:t>
                      </m:r>
                      <m:r>
                        <m:t xml:space="preserve">2</m:t>
                      </m:r>
                    </m:sub>
                  </m:sSub>
                </m:e>
                <m:e>
                  <m:r>
                    <m:t xml:space="preserve">0</m:t>
                  </m:r>
                </m:e>
              </m:mr>
              <m:mr>
                <m:e>
                  <m:r>
                    <m:t xml:space="preserve">-</m:t>
                  </m:r>
                  <m:sSub>
                    <m:e>
                      <m:r>
                        <m:t xml:space="preserve">t</m:t>
                      </m:r>
                    </m:e>
                    <m:sub>
                      <m:r>
                        <m:t xml:space="preserve">1</m:t>
                      </m:r>
                      <m:r>
                        <m:t xml:space="preserve">2</m:t>
                      </m:r>
                    </m:sub>
                  </m:sSub>
                </m:e>
                <m:e>
                  <m:sSub>
                    <m:e>
                      <m:r>
                        <m:t xml:space="preserve">E</m:t>
                      </m:r>
                    </m:e>
                    <m:sub>
                      <m:r>
                        <m:t xml:space="preserve">0</m:t>
                      </m:r>
                    </m:sub>
                  </m:sSub>
                  <m:r>
                    <m:t xml:space="preserve">+</m:t>
                  </m:r>
                  <m:sSub>
                    <m:e>
                      <m:r>
                        <m:t xml:space="preserve">V</m:t>
                      </m:r>
                    </m:e>
                    <m:sub>
                      <m:r>
                        <m:t xml:space="preserve">2</m:t>
                      </m:r>
                    </m:sub>
                  </m:sSub>
                </m:e>
                <m:e>
                  <m:r>
                    <m:t xml:space="preserve">-</m:t>
                  </m:r>
                  <m:sSub>
                    <m:e>
                      <m:r>
                        <m:t xml:space="preserve">t</m:t>
                      </m:r>
                    </m:e>
                    <m:sub>
                      <m:r>
                        <m:t xml:space="preserve">2</m:t>
                      </m:r>
                      <m:r>
                        <m:t xml:space="preserve">3</m:t>
                      </m:r>
                    </m:sub>
                  </m:sSub>
                </m:e>
              </m:mr>
              <m:mr>
                <m:e>
                  <m:r>
                    <m:t xml:space="preserve">0</m:t>
                  </m:r>
                </m:e>
                <m:e>
                  <m:r>
                    <m:t xml:space="preserve">-</m:t>
                  </m:r>
                  <m:sSub>
                    <m:e>
                      <m:r>
                        <m:t xml:space="preserve">t</m:t>
                      </m:r>
                    </m:e>
                    <m:sub>
                      <m:r>
                        <m:t xml:space="preserve">2</m:t>
                      </m:r>
                      <m:r>
                        <m:t xml:space="preserve">3</m:t>
                      </m:r>
                    </m:sub>
                  </m:sSub>
                </m:e>
                <m:e>
                  <m:sSub>
                    <m:e>
                      <m:r>
                        <m:t xml:space="preserve">E</m:t>
                      </m:r>
                    </m:e>
                    <m:sub>
                      <m:r>
                        <m:t xml:space="preserve">0</m:t>
                      </m:r>
                    </m:sub>
                  </m:sSub>
                  <m:r>
                    <m:t xml:space="preserve">+</m:t>
                  </m:r>
                  <m:sSub>
                    <m:e>
                      <m:r>
                        <m:t xml:space="preserve">V</m:t>
                      </m:r>
                    </m:e>
                    <m:sub>
                      <m:r>
                        <m:t xml:space="preserve">3</m:t>
                      </m:r>
                    </m:sub>
                  </m:sSub>
                </m:e>
              </m:mr>
            </m:m>
          </m:e>
        </m:d>
        <m:r>
          <m:t xml:space="preserve">+</m:t>
        </m:r>
        <m:nary>
          <m:naryPr>
            <m:chr m:val="∑"/>
            <m:limLoc m:val="undOvr"/>
            <m:subHide m:val="0"/>
            <m:supHide m:val="0"/>
          </m:naryPr>
          <m:sub>
            <m:r>
              <m:t xml:space="preserve">n</m:t>
            </m:r>
            <m:r>
              <m:t xml:space="preserve">=</m:t>
            </m:r>
            <m:r>
              <m:t xml:space="preserve">1</m:t>
            </m:r>
          </m:sub>
          <m:sup>
            <m:r>
              <m:t xml:space="preserve">N</m:t>
            </m:r>
          </m:sup>
          <m:e>
            <m:f>
              <m:num>
                <m:sSup>
                  <m:e>
                    <m:r>
                      <m:t xml:space="preserve">ℏ</m:t>
                    </m:r>
                  </m:e>
                  <m:sup>
                    <m:r>
                      <m:t xml:space="preserve">2</m:t>
                    </m:r>
                  </m:sup>
                </m:sSup>
                <m:sSubSup>
                  <m:e>
                    <m:r>
                      <m:t xml:space="preserve">k</m:t>
                    </m:r>
                  </m:e>
                  <m:sub>
                    <m:r>
                      <m:t xml:space="preserve">n</m:t>
                    </m:r>
                  </m:sub>
                  <m:sup>
                    <m:r>
                      <m:t xml:space="preserve">2</m:t>
                    </m:r>
                  </m:sup>
                </m:sSubSup>
              </m:num>
              <m:den>
                <m:r>
                  <m:t xml:space="preserve">2</m:t>
                </m:r>
                <m:r>
                  <m:t xml:space="preserve">m</m:t>
                </m:r>
              </m:den>
            </m:f>
          </m:e>
        </m:nary>
        <m:r>
          <m:rPr>
            <m:sty m:val="b"/>
          </m:rPr>
          <m:t xml:space="preserve">I</m:t>
        </m:r>
      </m:oMath>
    </w:p>
    <w:p>
      <w:pPr>
        <w:pStyle w:val="Heading3"/>
      </w:pPr>
      <w:bookmarkStart w:name="H_integrals_limits_and_chemistry_ex" w:id="4"/>
      <w:r>
        <w:rPr>
          <mc:AlternateContent>
            <mc:Choice Requires="w14">
              <w14:ligatures w14:val="standardContextual"/>
              <w14:numForm w14:val="oldStyle"/>
              <w14:numSpacing w14:val="proportional"/>
              <w14:cntxtAlts/>
            </mc:Choice>
          </mc:AlternateContent>
        </w:rPr>
        <w:t xml:space="preserve">1.2. Integrals, Limits, and Chemistry Extensions</w:t>
      </w:r>
      <w:bookmarkEnd w:id="4"/>
    </w:p>
    <w:p>
      <w:r>
        <w:rPr>
          <mc:AlternateContent>
            <mc:Choice Requires="w14">
              <w14:ligatures w14:val="standardContextual"/>
              <w14:numForm w14:val="oldStyle"/>
              <w14:numSpacing w14:val="proportional"/>
              <w14:cntxtAlts/>
            </mc:Choice>
          </mc:AlternateContent>
        </w:rPr>
        <w:t xml:space="preserve">A thermodynamic partition function combined with chemical stoichiometry equations:</w:t>
      </w:r>
    </w:p>
    <w:p>
      <w:pPr>
        <w:spacing w:before="120" w:after="120"/>
        <w:jc w:val="center"/>
      </w:pPr>
      <m:oMath>
        <m:r>
          <m:t xml:space="preserve">Z</m:t>
        </m:r>
        <m:r>
          <m:t xml:space="preserve">(</m:t>
        </m:r>
        <m:r>
          <m:t xml:space="preserve">β</m:t>
        </m:r>
        <m:r>
          <m:t xml:space="preserve">)</m:t>
        </m:r>
        <m:r>
          <m:t xml:space="preserve">=</m:t>
        </m:r>
        <m:limLow>
          <m:limLowPr/>
          <m:e>
            <m:r>
              <m:rPr>
                <m:sty m:val="p"/>
              </m:rPr>
              <m:t xml:space="preserve">lim</m:t>
            </m:r>
          </m:e>
          <m:lim>
            <m:r>
              <m:t xml:space="preserve">N</m:t>
            </m:r>
            <m:r>
              <m:t xml:space="preserve">→</m:t>
            </m:r>
            <m:r>
              <m:t xml:space="preserve">∞</m:t>
            </m:r>
          </m:lim>
        </m:limLow>
        <m:nary>
          <m:naryPr>
            <m:chr m:val="∫"/>
            <m:limLoc m:val="subSup"/>
            <m:subHide m:val="0"/>
            <m:supHide m:val="0"/>
          </m:naryPr>
          <m:sub>
            <m:r>
              <m:t xml:space="preserve">-</m:t>
            </m:r>
            <m:r>
              <m:t xml:space="preserve">∞</m:t>
            </m:r>
          </m:sub>
          <m:sup>
            <m:r>
              <m:t xml:space="preserve">∞</m:t>
            </m:r>
          </m:sup>
          <m:e>
            <m:r>
              <m:t xml:space="preserve">⋯</m:t>
            </m:r>
          </m:e>
        </m:nary>
        <m:nary>
          <m:naryPr>
            <m:chr m:val="∫"/>
            <m:limLoc m:val="subSup"/>
            <m:subHide m:val="0"/>
            <m:supHide m:val="0"/>
          </m:naryPr>
          <m:sub>
            <m:r>
              <m:t xml:space="preserve">-</m:t>
            </m:r>
            <m:r>
              <m:t xml:space="preserve">∞</m:t>
            </m:r>
          </m:sub>
          <m:sup>
            <m:r>
              <m:t xml:space="preserve">∞</m:t>
            </m:r>
          </m:sup>
          <m:e>
            <m:r>
              <m:rPr>
                <m:sty m:val="p"/>
              </m:rPr>
              <m:t xml:space="preserve">exp</m:t>
            </m:r>
          </m:e>
        </m:nary>
        <m:d>
          <m:dPr>
            <m:begChr m:val="("/>
            <m:endChr m:val=")"/>
          </m:dPr>
          <m:e>
            <m:r>
              <m:t xml:space="preserve">-</m:t>
            </m:r>
            <m:r>
              <m:t xml:space="preserve">β</m:t>
            </m:r>
            <m:nary>
              <m:naryPr>
                <m:chr m:val="∑"/>
                <m:limLoc m:val="undOvr"/>
                <m:subHide m:val="0"/>
                <m:supHide m:val="1"/>
              </m:naryPr>
              <m:sub>
                <m:r>
                  <m:t xml:space="preserve">i</m:t>
                </m:r>
                <m:r>
                  <m:t xml:space="preserve">&lt;</m:t>
                </m:r>
                <m:r>
                  <m:t xml:space="preserve">j</m:t>
                </m:r>
              </m:sub>
              <m:sup/>
              <m:e>
                <m:r>
                  <m:t xml:space="preserve">V</m:t>
                </m:r>
              </m:e>
            </m:nary>
            <m:r>
              <m:t xml:space="preserve">(</m:t>
            </m:r>
            <m:sSub>
              <m:e>
                <m:r>
                  <m:t xml:space="preserve">r</m:t>
                </m:r>
              </m:e>
              <m:sub>
                <m:r>
                  <m:t xml:space="preserve">i</m:t>
                </m:r>
                <m:r>
                  <m:t xml:space="preserve">j</m:t>
                </m:r>
              </m:sub>
            </m:sSub>
            <m:r>
              <m:t xml:space="preserve">)</m:t>
            </m:r>
          </m:e>
        </m:d>
        <m:r>
          <m:t xml:space="preserve">d</m:t>
        </m:r>
        <m:sSub>
          <m:e>
            <m:r>
              <m:rPr>
                <m:sty m:val="b"/>
              </m:rPr>
              <m:t xml:space="preserve">r</m:t>
            </m:r>
          </m:e>
          <m:sub>
            <m:r>
              <m:t xml:space="preserve">1</m:t>
            </m:r>
          </m:sub>
        </m:sSub>
        <m:r>
          <m:t xml:space="preserve">⋯</m:t>
        </m:r>
        <m:r>
          <m:t xml:space="preserve">d</m:t>
        </m:r>
        <m:sSub>
          <m:e>
            <m:r>
              <m:rPr>
                <m:sty m:val="b"/>
              </m:rPr>
              <m:t xml:space="preserve">r</m:t>
            </m:r>
          </m:e>
          <m:sub>
            <m:r>
              <m:t xml:space="preserve">N</m:t>
            </m:r>
          </m:sub>
        </m:sSub>
      </m:oMath>
    </w:p>
    <w:p>
      <w:r>
        <w:rPr>
          <mc:AlternateContent>
            <mc:Choice Requires="w14">
              <w14:ligatures w14:val="standardContextual"/>
              <w14:numForm w14:val="oldStyle"/>
              <w14:numSpacing w14:val="proportional"/>
              <w14:cntxtAlts/>
            </mc:Choice>
          </mc:AlternateContent>
        </w:rPr>
        <w:t xml:space="preserve">Chemical equilibrium equation using the </w:t>
      </w:r>
      <w:r>
        <w:rPr>
          <w:rFonts w:ascii="Consolas" w:hAnsi="Consolas"/>
          <w:noProof/>
          <w:sz w:val="20"/>
          <w:bdr w:val="single" w:color="auto" w:sz="4" w:space="1"/>
          <w:shd w:val="clear" w:color="auto" w:fill="auto"/>
        </w:rPr>
        <w:t xml:space="preserve">mhchem</w:t>
      </w:r>
      <w:r>
        <w:rPr>
          <mc:AlternateContent>
            <mc:Choice Requires="w14">
              <w14:ligatures w14:val="standardContextual"/>
              <w14:numForm w14:val="oldStyle"/>
              <w14:numSpacing w14:val="proportional"/>
              <w14:cntxtAlts/>
            </mc:Choice>
          </mc:AlternateContent>
        </w:rPr>
        <w:t xml:space="preserve"> extension:</w:t>
      </w:r>
    </w:p>
    <w:p>
      <w:pPr>
        <w:spacing w:before="120" w:after="120"/>
        <w:jc w:val="center"/>
      </w:pPr>
      <m:oMath>
        <m:r>
          <m:t xml:space="preserve">\ce</m:t>
        </m:r>
        <m:r>
          <m:t xml:space="preserve">N</m:t>
        </m:r>
        <m:r>
          <m:t xml:space="preserve">2</m:t>
        </m:r>
        <m:r>
          <m:t xml:space="preserve">+</m:t>
        </m:r>
        <m:r>
          <m:t xml:space="preserve">3</m:t>
        </m:r>
        <m:r>
          <m:t xml:space="preserve">H</m:t>
        </m:r>
        <m:r>
          <m:t xml:space="preserve">2</m:t>
        </m:r>
        <m:r>
          <m:t xml:space="preserve">&lt;</m:t>
        </m:r>
        <m:r>
          <m:t xml:space="preserve">=</m:t>
        </m:r>
        <m:r>
          <m:t xml:space="preserve">&gt;</m:t>
        </m:r>
        <m:r>
          <m:t xml:space="preserve">2</m:t>
        </m:r>
        <m:r>
          <m:t xml:space="preserve">N</m:t>
        </m:r>
        <m:r>
          <m:t xml:space="preserve">H</m:t>
        </m:r>
        <m:r>
          <m:t xml:space="preserve">3</m:t>
        </m:r>
        <m:r>
          <m:t xml:space="preserve"> </m:t>
        </m:r>
        <m:r>
          <m:t xml:space="preserve">(</m:t>
        </m:r>
        <m:r>
          <m:t xml:space="preserve">Δ</m:t>
        </m:r>
        <m:sSup>
          <m:e>
            <m:r>
              <m:t xml:space="preserve">H</m:t>
            </m:r>
          </m:e>
          <m:sup>
            <m:r>
              <m:t xml:space="preserve">∘</m:t>
            </m:r>
          </m:sup>
        </m:sSup>
        <m:r>
          <m:t xml:space="preserve">=</m:t>
        </m:r>
        <m:r>
          <m:t xml:space="preserve">-</m:t>
        </m:r>
        <m:r>
          <m:t xml:space="preserve">9</m:t>
        </m:r>
        <m:r>
          <m:t xml:space="preserve">2</m:t>
        </m:r>
        <m:r>
          <m:t xml:space="preserve">.</m:t>
        </m:r>
        <m:r>
          <m:t xml:space="preserve">4</m:t>
        </m:r>
        <m:r>
          <m:rPr>
            <m:sty m:val="p"/>
          </m:rPr>
          <m:t xml:space="preserve"> kJ/mol</m:t>
        </m:r>
        <m:r>
          <m:t xml:space="preserve">)</m:t>
        </m:r>
      </m:oMath>
    </w:p>
    <w:p>
      <w:pPr>
        <w:spacing w:before="120" w:after="120"/>
        <w:jc w:val="center"/>
      </w:pPr>
      <m:oMath>
        <m:r>
          <m:t xml:space="preserve">\ce</m:t>
        </m:r>
        <m:r>
          <m:t xml:space="preserve">2</m:t>
        </m:r>
        <m:r>
          <m:t xml:space="preserve">H</m:t>
        </m:r>
        <m:r>
          <m:t xml:space="preserve">2</m:t>
        </m:r>
        <m:r>
          <m:t xml:space="preserve">O</m:t>
        </m:r>
        <m:r>
          <m:t xml:space="preserve">-</m:t>
        </m:r>
        <m:r>
          <m:t xml:space="preserve">&gt;</m:t>
        </m:r>
        <m:r>
          <m:t xml:space="preserve">[</m:t>
        </m:r>
        <m:r>
          <m:t xml:space="preserve">e</m:t>
        </m:r>
        <m:r>
          <m:t xml:space="preserve">l</m:t>
        </m:r>
        <m:r>
          <m:t xml:space="preserve">e</m:t>
        </m:r>
        <m:r>
          <m:t xml:space="preserve">c</m:t>
        </m:r>
        <m:r>
          <m:t xml:space="preserve">t</m:t>
        </m:r>
        <m:r>
          <m:t xml:space="preserve">r</m:t>
        </m:r>
        <m:r>
          <m:t xml:space="preserve">o</m:t>
        </m:r>
        <m:r>
          <m:t xml:space="preserve">l</m:t>
        </m:r>
        <m:r>
          <m:t xml:space="preserve">y</m:t>
        </m:r>
        <m:r>
          <m:t xml:space="preserve">s</m:t>
        </m:r>
        <m:r>
          <m:t xml:space="preserve">i</m:t>
        </m:r>
        <m:r>
          <m:t xml:space="preserve">s</m:t>
        </m:r>
        <m:r>
          <m:t xml:space="preserve">2</m:t>
        </m:r>
        <m:r>
          <m:t xml:space="preserve">H</m:t>
        </m:r>
        <m:r>
          <m:t xml:space="preserve">2</m:t>
        </m:r>
        <m:r>
          <m:t xml:space="preserve">+</m:t>
        </m:r>
        <m:r>
          <m:t xml:space="preserve">O</m:t>
        </m:r>
        <m:r>
          <m:t xml:space="preserve">2</m:t>
        </m:r>
      </m:oMath>
    </w:p>
    <w:p>
      <w:pPr>
        <w:pBdr>
          <w:bottom w:val="wave" w:color="D1D5DA" w:sz="6" w:space="1"/>
        </w:pBdr>
      </w:pPr>
    </w:p>
    <w:p>
      <w:pPr>
        <w:pStyle w:val="Heading2"/>
      </w:pPr>
      <w:bookmarkStart w:name="H_code_fences_with_captions_and_hig" w:id="5"/>
      <w:r>
        <w:rPr>
          <mc:AlternateContent>
            <mc:Choice Requires="w14">
              <w14:ligatures w14:val="standardContextual"/>
              <w14:numForm w14:val="oldStyle"/>
              <w14:numSpacing w14:val="proportional"/>
              <w14:cntxtAlts/>
            </mc:Choice>
          </mc:AlternateContent>
        </w:rPr>
        <w:t xml:space="preserve">2. Code Fences with Captions and Highlighting</w:t>
      </w:r>
      <w:bookmarkEnd w:id="5"/>
    </w:p>
    <w:p>
      <w:r>
        <w:rPr>
          <mc:AlternateContent>
            <mc:Choice Requires="w14">
              <w14:ligatures w14:val="standardContextual"/>
              <w14:numForm w14:val="oldStyle"/>
              <w14:numSpacing w14:val="proportional"/>
              <w14:cntxtAlts/>
            </mc:Choice>
          </mc:AlternateContent>
        </w:rPr>
        <w:t xml:space="preserve">Word has no built-in code block or syntax highlighter. Marksmith translates code blocks into structured runs, maintaining precise syntax coloring and code captions.</w:t>
      </w:r>
    </w:p>
    <w:p>
      <w:r>
        <w:rPr>
          <w:rFonts w:ascii="Consolas" w:hAnsi="Consolas"/>
          <w:b/>
          <w:noProof/>
          <w:sz w:val="20"/>
          <w:bdr w:val="single" w:color="auto" w:sz="4" w:space="1"/>
          <w:shd w:val="clear" w:color="auto" w:fill="auto"/>
        </w:rPr>
        <w:t xml:space="preserve">main.rs</w:t>
      </w:r>
    </w:p>
    <w:p>
      <w:pPr>
        <w:pStyle w:val="MSCode_rust"/>
        <w:keepLines/>
        <w:pBdr>
          <w:top w:val="single" w:color="D1D5DA" w:sz="4" w:space="4"/>
          <w:left w:val="single" w:color="D1D5DA" w:sz="4" w:space="4"/>
          <w:bottom w:val="single" w:color="D1D5DA" w:sz="4" w:space="4"/>
          <w:right w:val="single" w:color="D1D5DA" w:sz="4" w:space="4"/>
        </w:pBdr>
        <w:shd w:val="clear" w:color="auto" w:fill="F6F8FA"/>
        <w:wordWrap w:val="false"/>
        <w:spacing w:before="60" w:after="60" w:line="240" w:lineRule="auto"/>
      </w:pPr>
      <w:r>
        <w:rPr>
          <w:rFonts w:ascii="Consolas" w:hAnsi="Consolas"/>
          <w:i/>
          <w:noProof/>
          <w:color w:val="1F2328"/>
        </w:rPr>
        <w:t xml:space="preserve">// Rust server entrypoint showing error handling and concurrency</w:t>
      </w:r>
      <w:r>
        <w:rPr>
          <w:rFonts w:ascii="Consolas" w:hAnsi="Consolas"/>
          <w:noProof/>
          <w:color w:val="24292F"/>
        </w:rPr>
        <w:br/>
      </w:r>
      <w:r>
        <w:rPr>
          <w:rFonts w:ascii="Consolas" w:hAnsi="Consolas"/>
          <w:b/>
          <w:noProof/>
          <w:color w:val="0550AE"/>
        </w:rPr>
        <w:t xml:space="preserve">use</w:t>
      </w:r>
      <w:r>
        <w:rPr>
          <w:rFonts w:ascii="Consolas" w:hAnsi="Consolas"/>
          <w:noProof/>
          <w:color w:val="24292F"/>
        </w:rPr>
        <w:t xml:space="preserve"> std::sync::</w:t>
      </w:r>
      <w:r>
        <w:rPr>
          <w:rFonts w:ascii="Consolas" w:hAnsi="Consolas"/>
          <w:noProof/>
          <w:color w:val="116329"/>
        </w:rPr>
        <w:t xml:space="preserve">Arc</w:t>
      </w:r>
      <w:r>
        <w:rPr>
          <w:rFonts w:ascii="Consolas" w:hAnsi="Consolas"/>
          <w:noProof/>
          <w:color w:val="24292F"/>
        </w:rPr>
        <w:t xml:space="preserve">;</w:t>
        <w:br/>
      </w:r>
      <w:r>
        <w:rPr>
          <w:rFonts w:ascii="Consolas" w:hAnsi="Consolas"/>
          <w:b/>
          <w:noProof/>
          <w:color w:val="0550AE"/>
        </w:rPr>
        <w:t xml:space="preserve">use</w:t>
      </w:r>
      <w:r>
        <w:rPr>
          <w:rFonts w:ascii="Consolas" w:hAnsi="Consolas"/>
          <w:noProof/>
          <w:color w:val="24292F"/>
        </w:rPr>
        <w:t xml:space="preserve"> tokio::net::TcpListener;</w:t>
        <w:br/>
        <w:br/>
        <w:t xml:space="preserve">#[tokio::main]</w:t>
        <w:br/>
      </w:r>
      <w:r>
        <w:rPr>
          <w:rFonts w:ascii="Consolas" w:hAnsi="Consolas"/>
          <w:b/>
          <w:noProof/>
          <w:color w:val="0550AE"/>
        </w:rPr>
        <w:t xml:space="preserve">async</w:t>
      </w:r>
      <w:r>
        <w:rPr>
          <w:rFonts w:ascii="Consolas" w:hAnsi="Consolas"/>
          <w:noProof/>
          <w:color w:val="24292F"/>
        </w:rPr>
        <w:t xml:space="preserve"> </w:t>
      </w:r>
      <w:r>
        <w:rPr>
          <w:rFonts w:ascii="Consolas" w:hAnsi="Consolas"/>
          <w:b/>
          <w:noProof/>
          <w:color w:val="0550AE"/>
        </w:rPr>
        <w:t xml:space="preserve">fn</w:t>
      </w:r>
      <w:r>
        <w:rPr>
          <w:rFonts w:ascii="Consolas" w:hAnsi="Consolas"/>
          <w:noProof/>
          <w:color w:val="24292F"/>
        </w:rPr>
        <w:t xml:space="preserve"> </w:t>
      </w:r>
      <w:r>
        <w:rPr>
          <w:rFonts w:ascii="Consolas" w:hAnsi="Consolas"/>
          <w:noProof/>
          <w:color w:val="8250DF"/>
        </w:rPr>
        <w:t xml:space="preserve">main</w:t>
      </w:r>
      <w:r>
        <w:rPr>
          <w:rFonts w:ascii="Consolas" w:hAnsi="Consolas"/>
          <w:noProof/>
          <w:color w:val="24292F"/>
        </w:rPr>
        <w:t xml:space="preserve">() -&gt; </w:t>
      </w:r>
      <w:r>
        <w:rPr>
          <w:rFonts w:ascii="Consolas" w:hAnsi="Consolas"/>
          <w:noProof/>
          <w:color w:val="116329"/>
        </w:rPr>
        <w:t xml:space="preserve">Result</w:t>
      </w:r>
      <w:r>
        <w:rPr>
          <w:rFonts w:ascii="Consolas" w:hAnsi="Consolas"/>
          <w:noProof/>
          <w:color w:val="24292F"/>
        </w:rPr>
        <w:t xml:space="preserve">&lt;(), </w:t>
      </w:r>
      <w:r>
        <w:rPr>
          <w:rFonts w:ascii="Consolas" w:hAnsi="Consolas"/>
          <w:noProof/>
          <w:color w:val="116329"/>
        </w:rPr>
        <w:t xml:space="preserve">Box</w:t>
      </w:r>
      <w:r>
        <w:rPr>
          <w:rFonts w:ascii="Consolas" w:hAnsi="Consolas"/>
          <w:noProof/>
          <w:color w:val="24292F"/>
        </w:rPr>
        <w:t xml:space="preserve">&lt;</w:t>
      </w:r>
      <w:r>
        <w:rPr>
          <w:rFonts w:ascii="Consolas" w:hAnsi="Consolas"/>
          <w:b/>
          <w:noProof/>
          <w:color w:val="0550AE"/>
        </w:rPr>
        <w:t xml:space="preserve">dyn</w:t>
      </w:r>
      <w:r>
        <w:rPr>
          <w:rFonts w:ascii="Consolas" w:hAnsi="Consolas"/>
          <w:noProof/>
          <w:color w:val="24292F"/>
        </w:rPr>
        <w:t xml:space="preserve"> std::error::Error&gt;&gt; {</w:t>
        <w:br/>
        <w:t xml:space="preserve">    </w:t>
      </w:r>
      <w:r>
        <w:rPr>
          <w:rFonts w:ascii="Consolas" w:hAnsi="Consolas"/>
          <w:b/>
          <w:noProof/>
          <w:color w:val="0550AE"/>
        </w:rPr>
        <w:t xml:space="preserve">let</w:t>
      </w:r>
      <w:r>
        <w:rPr>
          <w:rFonts w:ascii="Consolas" w:hAnsi="Consolas"/>
          <w:noProof/>
          <w:color w:val="24292F"/>
        </w:rPr>
        <w:t xml:space="preserve"> listener = TcpListener::</w:t>
      </w:r>
      <w:r>
        <w:rPr>
          <w:rFonts w:ascii="Consolas" w:hAnsi="Consolas"/>
          <w:noProof/>
          <w:color w:val="8250DF"/>
        </w:rPr>
        <w:t xml:space="preserve">bind</w:t>
      </w:r>
      <w:r>
        <w:rPr>
          <w:rFonts w:ascii="Consolas" w:hAnsi="Consolas"/>
          <w:noProof/>
          <w:color w:val="24292F"/>
        </w:rPr>
        <w:t xml:space="preserve">(</w:t>
      </w:r>
      <w:r>
        <w:rPr>
          <w:rFonts w:ascii="Consolas" w:hAnsi="Consolas"/>
          <w:noProof/>
          <w:color w:val="0A3069"/>
        </w:rPr>
        <w:t xml:space="preserve">"127.0.0.1:8080"</w:t>
      </w:r>
      <w:r>
        <w:rPr>
          <w:rFonts w:ascii="Consolas" w:hAnsi="Consolas"/>
          <w:noProof/>
          <w:color w:val="24292F"/>
        </w:rPr>
        <w:t xml:space="preserve">).</w:t>
      </w:r>
      <w:r>
        <w:rPr>
          <w:rFonts w:ascii="Consolas" w:hAnsi="Consolas"/>
          <w:b/>
          <w:noProof/>
          <w:color w:val="0550AE"/>
        </w:rPr>
        <w:t xml:space="preserve">await</w:t>
      </w:r>
      <w:r>
        <w:rPr>
          <w:rFonts w:ascii="Consolas" w:hAnsi="Consolas"/>
          <w:noProof/>
          <w:color w:val="24292F"/>
        </w:rPr>
        <w:t xml:space="preserve">?;</w:t>
        <w:br/>
        <w:t xml:space="preserve">    </w:t>
      </w:r>
      <w:r>
        <w:rPr>
          <w:rFonts w:ascii="Consolas" w:hAnsi="Consolas"/>
          <w:b/>
          <w:noProof/>
          <w:color w:val="0550AE"/>
        </w:rPr>
        <w:t xml:space="preserve">let</w:t>
      </w:r>
      <w:r>
        <w:rPr>
          <w:rFonts w:ascii="Consolas" w:hAnsi="Consolas"/>
          <w:noProof/>
          <w:color w:val="24292F"/>
        </w:rPr>
        <w:t xml:space="preserve"> state = </w:t>
      </w:r>
      <w:r>
        <w:rPr>
          <w:rFonts w:ascii="Consolas" w:hAnsi="Consolas"/>
          <w:noProof/>
          <w:color w:val="116329"/>
        </w:rPr>
        <w:t xml:space="preserve">Arc</w:t>
      </w:r>
      <w:r>
        <w:rPr>
          <w:rFonts w:ascii="Consolas" w:hAnsi="Consolas"/>
          <w:noProof/>
          <w:color w:val="24292F"/>
        </w:rPr>
        <w:t xml:space="preserve">::</w:t>
      </w:r>
      <w:r>
        <w:rPr>
          <w:rFonts w:ascii="Consolas" w:hAnsi="Consolas"/>
          <w:noProof/>
          <w:color w:val="8250DF"/>
        </w:rPr>
        <w:t xml:space="preserve">new</w:t>
      </w:r>
      <w:r>
        <w:rPr>
          <w:rFonts w:ascii="Consolas" w:hAnsi="Consolas"/>
          <w:noProof/>
          <w:color w:val="24292F"/>
        </w:rPr>
        <w:t xml:space="preserve">(Database::</w:t>
      </w:r>
      <w:r>
        <w:rPr>
          <w:rFonts w:ascii="Consolas" w:hAnsi="Consolas"/>
          <w:noProof/>
          <w:color w:val="8250DF"/>
        </w:rPr>
        <w:t xml:space="preserve">connect</w:t>
      </w:r>
      <w:r>
        <w:rPr>
          <w:rFonts w:ascii="Consolas" w:hAnsi="Consolas"/>
          <w:noProof/>
          <w:color w:val="24292F"/>
        </w:rPr>
        <w:t xml:space="preserve">().</w:t>
      </w:r>
      <w:r>
        <w:rPr>
          <w:rFonts w:ascii="Consolas" w:hAnsi="Consolas"/>
          <w:b/>
          <w:noProof/>
          <w:color w:val="0550AE"/>
        </w:rPr>
        <w:t xml:space="preserve">await</w:t>
      </w:r>
      <w:r>
        <w:rPr>
          <w:rFonts w:ascii="Consolas" w:hAnsi="Consolas"/>
          <w:noProof/>
          <w:color w:val="24292F"/>
        </w:rPr>
        <w:t xml:space="preserve">?);</w:t>
        <w:br/>
        <w:t xml:space="preserve">    </w:t>
      </w:r>
      <w:r>
        <w:rPr>
          <w:rFonts w:ascii="Consolas" w:hAnsi="Consolas"/>
          <w:noProof/>
          <w:color w:val="953800"/>
        </w:rPr>
        <w:t xml:space="preserve">println</w:t>
      </w:r>
      <w:r>
        <w:rPr>
          <w:rFonts w:ascii="Consolas" w:hAnsi="Consolas"/>
          <w:noProof/>
          <w:color w:val="24292F"/>
        </w:rPr>
        <w:t xml:space="preserve">!(</w:t>
      </w:r>
      <w:r>
        <w:rPr>
          <w:rFonts w:ascii="Consolas" w:hAnsi="Consolas"/>
          <w:noProof/>
          <w:color w:val="0A3069"/>
        </w:rPr>
        <w:t xml:space="preserve">"Server listening on http://127.0.0.1:8080"</w:t>
      </w:r>
      <w:r>
        <w:rPr>
          <w:rFonts w:ascii="Consolas" w:hAnsi="Consolas"/>
          <w:noProof/>
          <w:color w:val="24292F"/>
        </w:rPr>
        <w:t xml:space="preserve">);</w:t>
        <w:br/>
        <w:br/>
        <w:t xml:space="preserve">    </w:t>
      </w:r>
      <w:r>
        <w:rPr>
          <w:rFonts w:ascii="Consolas" w:hAnsi="Consolas"/>
          <w:b/>
          <w:noProof/>
          <w:color w:val="0550AE"/>
        </w:rPr>
        <w:t xml:space="preserve">loop</w:t>
      </w:r>
      <w:r>
        <w:rPr>
          <w:rFonts w:ascii="Consolas" w:hAnsi="Consolas"/>
          <w:noProof/>
          <w:color w:val="24292F"/>
        </w:rPr>
        <w:t xml:space="preserve"> {</w:t>
        <w:br/>
        <w:t xml:space="preserve">        </w:t>
      </w:r>
      <w:r>
        <w:rPr>
          <w:rFonts w:ascii="Consolas" w:hAnsi="Consolas"/>
          <w:b/>
          <w:noProof/>
          <w:color w:val="0550AE"/>
        </w:rPr>
        <w:t xml:space="preserve">let</w:t>
      </w:r>
      <w:r>
        <w:rPr>
          <w:rFonts w:ascii="Consolas" w:hAnsi="Consolas"/>
          <w:noProof/>
          <w:color w:val="8250DF"/>
        </w:rPr>
        <w:t xml:space="preserve"> </w:t>
      </w:r>
      <w:r>
        <w:rPr>
          <w:rFonts w:ascii="Consolas" w:hAnsi="Consolas"/>
          <w:noProof/>
          <w:color w:val="24292F"/>
        </w:rPr>
        <w:t xml:space="preserve">(socket, _) = listener.</w:t>
      </w:r>
      <w:r>
        <w:rPr>
          <w:rFonts w:ascii="Consolas" w:hAnsi="Consolas"/>
          <w:noProof/>
          <w:color w:val="8250DF"/>
        </w:rPr>
        <w:t xml:space="preserve">accept</w:t>
      </w:r>
      <w:r>
        <w:rPr>
          <w:rFonts w:ascii="Consolas" w:hAnsi="Consolas"/>
          <w:noProof/>
          <w:color w:val="24292F"/>
        </w:rPr>
        <w:t xml:space="preserve">().</w:t>
      </w:r>
      <w:r>
        <w:rPr>
          <w:rFonts w:ascii="Consolas" w:hAnsi="Consolas"/>
          <w:b/>
          <w:noProof/>
          <w:color w:val="0550AE"/>
        </w:rPr>
        <w:t xml:space="preserve">await</w:t>
      </w:r>
      <w:r>
        <w:rPr>
          <w:rFonts w:ascii="Consolas" w:hAnsi="Consolas"/>
          <w:noProof/>
          <w:color w:val="24292F"/>
        </w:rPr>
        <w:t xml:space="preserve">?;</w:t>
        <w:br/>
        <w:t xml:space="preserve">        </w:t>
      </w:r>
      <w:r>
        <w:rPr>
          <w:rFonts w:ascii="Consolas" w:hAnsi="Consolas"/>
          <w:b/>
          <w:noProof/>
          <w:color w:val="0550AE"/>
        </w:rPr>
        <w:t xml:space="preserve">let</w:t>
      </w:r>
      <w:r>
        <w:rPr>
          <w:rFonts w:ascii="Consolas" w:hAnsi="Consolas"/>
          <w:noProof/>
          <w:color w:val="24292F"/>
        </w:rPr>
        <w:t xml:space="preserve"> db = </w:t>
      </w:r>
      <w:r>
        <w:rPr>
          <w:rFonts w:ascii="Consolas" w:hAnsi="Consolas"/>
          <w:noProof/>
          <w:color w:val="116329"/>
        </w:rPr>
        <w:t xml:space="preserve">Arc</w:t>
      </w:r>
      <w:r>
        <w:rPr>
          <w:rFonts w:ascii="Consolas" w:hAnsi="Consolas"/>
          <w:noProof/>
          <w:color w:val="24292F"/>
        </w:rPr>
        <w:t xml:space="preserve">::</w:t>
      </w:r>
      <w:r>
        <w:rPr>
          <w:rFonts w:ascii="Consolas" w:hAnsi="Consolas"/>
          <w:noProof/>
          <w:color w:val="8250DF"/>
        </w:rPr>
        <w:t xml:space="preserve">clone</w:t>
      </w:r>
      <w:r>
        <w:rPr>
          <w:rFonts w:ascii="Consolas" w:hAnsi="Consolas"/>
          <w:noProof/>
          <w:color w:val="24292F"/>
        </w:rPr>
        <w:t xml:space="preserve">(&amp;state);</w:t>
        <w:br/>
        <w:t xml:space="preserve">        tokio::</w:t>
      </w:r>
      <w:r>
        <w:rPr>
          <w:rFonts w:ascii="Consolas" w:hAnsi="Consolas"/>
          <w:noProof/>
          <w:color w:val="8250DF"/>
        </w:rPr>
        <w:t xml:space="preserve">spawn</w:t>
      </w:r>
      <w:r>
        <w:rPr>
          <w:rFonts w:ascii="Consolas" w:hAnsi="Consolas"/>
          <w:noProof/>
          <w:color w:val="24292F"/>
        </w:rPr>
        <w:t xml:space="preserve">(</w:t>
      </w:r>
      <w:r>
        <w:rPr>
          <w:rFonts w:ascii="Consolas" w:hAnsi="Consolas"/>
          <w:b/>
          <w:noProof/>
          <w:color w:val="0550AE"/>
        </w:rPr>
        <w:t xml:space="preserve">async</w:t>
      </w:r>
      <w:r>
        <w:rPr>
          <w:rFonts w:ascii="Consolas" w:hAnsi="Consolas"/>
          <w:noProof/>
          <w:color w:val="24292F"/>
        </w:rPr>
        <w:t xml:space="preserve"> </w:t>
      </w:r>
      <w:r>
        <w:rPr>
          <w:rFonts w:ascii="Consolas" w:hAnsi="Consolas"/>
          <w:b/>
          <w:noProof/>
          <w:color w:val="0550AE"/>
        </w:rPr>
        <w:t xml:space="preserve">move</w:t>
      </w:r>
      <w:r>
        <w:rPr>
          <w:rFonts w:ascii="Consolas" w:hAnsi="Consolas"/>
          <w:noProof/>
          <w:color w:val="24292F"/>
        </w:rPr>
        <w:t xml:space="preserve"> {</w:t>
        <w:br/>
        <w:t xml:space="preserve">            </w:t>
      </w:r>
      <w:r>
        <w:rPr>
          <w:rFonts w:ascii="Consolas" w:hAnsi="Consolas"/>
          <w:b/>
          <w:noProof/>
          <w:color w:val="0550AE"/>
        </w:rPr>
        <w:t xml:space="preserve">if</w:t>
      </w:r>
      <w:r>
        <w:rPr>
          <w:rFonts w:ascii="Consolas" w:hAnsi="Consolas"/>
          <w:noProof/>
          <w:color w:val="24292F"/>
        </w:rPr>
        <w:t xml:space="preserve"> </w:t>
      </w:r>
      <w:r>
        <w:rPr>
          <w:rFonts w:ascii="Consolas" w:hAnsi="Consolas"/>
          <w:b/>
          <w:noProof/>
          <w:color w:val="0550AE"/>
        </w:rPr>
        <w:t xml:space="preserve">let</w:t>
      </w:r>
      <w:r>
        <w:rPr>
          <w:rFonts w:ascii="Consolas" w:hAnsi="Consolas"/>
          <w:noProof/>
          <w:color w:val="24292F"/>
        </w:rPr>
        <w:t xml:space="preserve"> </w:t>
      </w:r>
      <w:r>
        <w:rPr>
          <w:rFonts w:ascii="Consolas" w:hAnsi="Consolas"/>
          <w:noProof/>
          <w:color w:val="953800"/>
        </w:rPr>
        <w:t xml:space="preserve">Err</w:t>
      </w:r>
      <w:r>
        <w:rPr>
          <w:rFonts w:ascii="Consolas" w:hAnsi="Consolas"/>
          <w:noProof/>
          <w:color w:val="24292F"/>
        </w:rPr>
        <w:t xml:space="preserve">(e) = </w:t>
      </w:r>
      <w:r>
        <w:rPr>
          <w:rFonts w:ascii="Consolas" w:hAnsi="Consolas"/>
          <w:noProof/>
          <w:color w:val="8250DF"/>
        </w:rPr>
        <w:t xml:space="preserve">handle_connection</w:t>
      </w:r>
      <w:r>
        <w:rPr>
          <w:rFonts w:ascii="Consolas" w:hAnsi="Consolas"/>
          <w:noProof/>
          <w:color w:val="24292F"/>
        </w:rPr>
        <w:t xml:space="preserve">(socket, db).</w:t>
      </w:r>
      <w:r>
        <w:rPr>
          <w:rFonts w:ascii="Consolas" w:hAnsi="Consolas"/>
          <w:b/>
          <w:noProof/>
          <w:color w:val="0550AE"/>
        </w:rPr>
        <w:t xml:space="preserve">await</w:t>
      </w:r>
      <w:r>
        <w:rPr>
          <w:rFonts w:ascii="Consolas" w:hAnsi="Consolas"/>
          <w:noProof/>
          <w:color w:val="24292F"/>
        </w:rPr>
        <w:t xml:space="preserve"> {</w:t>
        <w:br/>
        <w:t xml:space="preserve">                </w:t>
      </w:r>
      <w:r>
        <w:rPr>
          <w:rFonts w:ascii="Consolas" w:hAnsi="Consolas"/>
          <w:noProof/>
          <w:color w:val="953800"/>
        </w:rPr>
        <w:t xml:space="preserve">eprintln</w:t>
      </w:r>
      <w:r>
        <w:rPr>
          <w:rFonts w:ascii="Consolas" w:hAnsi="Consolas"/>
          <w:noProof/>
          <w:color w:val="24292F"/>
        </w:rPr>
        <w:t xml:space="preserve">!(</w:t>
      </w:r>
      <w:r>
        <w:rPr>
          <w:rFonts w:ascii="Consolas" w:hAnsi="Consolas"/>
          <w:noProof/>
          <w:color w:val="0A3069"/>
        </w:rPr>
        <w:t xml:space="preserve">"Error handling connection: {}"</w:t>
      </w:r>
      <w:r>
        <w:rPr>
          <w:rFonts w:ascii="Consolas" w:hAnsi="Consolas"/>
          <w:noProof/>
          <w:color w:val="24292F"/>
        </w:rPr>
        <w:t xml:space="preserve">, e);</w:t>
        <w:br/>
        <w:t xml:space="preserve">            }</w:t>
        <w:br/>
        <w:t xml:space="preserve">        });</w:t>
        <w:br/>
        <w:t xml:space="preserve">    }</w:t>
        <w:br/>
        <w:t xml:space="preserve">}</w:t>
      </w:r>
    </w:p>
    <w:p>
      <w:pPr>
        <w:pBdr>
          <w:bottom w:val="wave" w:color="D1D5DA" w:sz="6" w:space="1"/>
        </w:pBdr>
      </w:pPr>
    </w:p>
    <w:p>
      <w:pPr>
        <w:pStyle w:val="Heading2"/>
      </w:pPr>
      <w:bookmarkStart w:name="H_high_complexity_nested_tables_the" w:id="6"/>
      <w:r>
        <w:rPr>
          <mc:AlternateContent>
            <mc:Choice Requires="w14">
              <w14:ligatures w14:val="standardContextual"/>
              <w14:numForm w14:val="oldStyle"/>
              <w14:numSpacing w14:val="proportional"/>
              <w14:cntxtAlts/>
            </mc:Choice>
          </mc:AlternateContent>
        </w:rPr>
        <w:t xml:space="preserve">3. High-Complexity Nested Tables (The "Layout Exploder")</w:t>
      </w:r>
      <w:bookmarkEnd w:id="6"/>
    </w:p>
    <w:p>
      <w:r>
        <w:rPr>
          <mc:AlternateContent>
            <mc:Choice Requires="w14">
              <w14:ligatures w14:val="standardContextual"/>
              <w14:numForm w14:val="oldStyle"/>
              <w14:numSpacing w14:val="proportional"/>
              <w14:cntxtAlts/>
            </mc:Choice>
          </mc:AlternateContent>
        </w:rPr>
        <w:t xml:space="preserve">Tables in Word often collapse or distort when cells contain complex layouts. Pipe-table cells are inline-only in GFM, so Marksmith recovers block content written into a cell — a </w:t>
      </w:r>
      <w:r>
        <w:rPr>
          <w:rFonts w:ascii="Consolas" w:hAnsi="Consolas"/>
          <w:noProof/>
          <w:sz w:val="20"/>
          <w:bdr w:val="single" w:color="auto" w:sz="4" w:space="1"/>
          <w:shd w:val="clear" w:color="auto" w:fill="auto"/>
        </w:rPr>
        <w:t xml:space="preserve">&lt;br&gt;</w:t>
      </w:r>
      <w:r>
        <w:rPr>
          <mc:AlternateContent>
            <mc:Choice Requires="w14">
              <w14:ligatures w14:val="standardContextual"/>
              <w14:numForm w14:val="oldStyle"/>
              <w14:numSpacing w14:val="proportional"/>
              <w14:cntxtAlts/>
            </mc:Choice>
          </mc:AlternateContent>
        </w:rPr>
        <w:t xml:space="preserve">-joined list, a GitHub alert — and renders it as a real block in both the preview and the native Word table.</w:t>
      </w:r>
    </w:p>
    <w:tbl>
      <w:tblPr>
        <w:tblW w:w="5000" w:type="pct"/>
        <w:tblBorders>
          <w:top w:val="single" w:color="D1D5DA" w:sz="6"/>
          <w:left w:val="single" w:color="D1D5DA" w:sz="6"/>
          <w:bottom w:val="single" w:color="D1D5DA" w:sz="6"/>
          <w:right w:val="single" w:color="D1D5DA" w:sz="6"/>
          <w:insideH w:val="single" w:color="D1D5DA" w:sz="6"/>
          <w:insideV w:val="single" w:color="D1D5DA" w:sz="6"/>
        </w:tblBorders>
        <w:tblCellMar>
          <w:top w:w="120" w:type="dxa"/>
          <w:bottom w:w="120" w:type="dxa"/>
          <w:left w:w="180" w:type="dxa"/>
          <w:right w:w="180" w:type="dxa"/>
        </w:tblCellMar>
      </w:tblPr>
      <w:tblGrid>
        <w:gridCol/>
        <w:gridCol/>
        <w:gridCol/>
        <w:gridCol/>
      </w:tblGrid>
      <w:tr>
        <w:trPr>
          <w:cantSplit/>
          <w:tblHeader/>
        </w:trPr>
        <w:tc>
          <w:tcPr>
            <w:shd w:val="clear" w:color="auto" w:fill="F6F8FA"/>
          </w:tcPr>
          <w:p>
            <w:r>
              <w:rPr>
                <w:b/>
                <w:color w:val="1b1f23"/>
                <mc:AlternateContent>
                  <mc:Choice Requires="w14">
                    <w14:ligatures w14:val="standardContextual"/>
                    <w14:numForm w14:val="oldStyle"/>
                    <w14:numSpacing w14:val="proportional"/>
                    <w14:cntxtAlts/>
                  </mc:Choice>
                </mc:AlternateContent>
              </w:rPr>
              <w:t xml:space="preserve">Feature / Element</w:t>
            </w:r>
          </w:p>
        </w:tc>
        <w:tc>
          <w:tcPr>
            <w:shd w:val="clear" w:color="auto" w:fill="F6F8FA"/>
          </w:tcPr>
          <w:p>
            <w:r>
              <w:rPr>
                <w:b/>
                <w:color w:val="1b1f23"/>
                <mc:AlternateContent>
                  <mc:Choice Requires="w14">
                    <w14:ligatures w14:val="standardContextual"/>
                    <w14:numForm w14:val="oldStyle"/>
                    <w14:numSpacing w14:val="proportional"/>
                    <w14:cntxtAlts/>
                  </mc:Choice>
                </mc:AlternateContent>
              </w:rPr>
              <w:t xml:space="preserve">Raw Syntax Test</w:t>
            </w:r>
          </w:p>
        </w:tc>
        <w:tc>
          <w:tcPr>
            <w:shd w:val="clear" w:color="auto" w:fill="F6F8FA"/>
          </w:tcPr>
          <w:p>
            <w:r>
              <w:rPr>
                <w:b/>
                <w:color w:val="1b1f23"/>
                <mc:AlternateContent>
                  <mc:Choice Requires="w14">
                    <w14:ligatures w14:val="standardContextual"/>
                    <w14:numForm w14:val="oldStyle"/>
                    <w14:numSpacing w14:val="proportional"/>
                    <w14:cntxtAlts/>
                  </mc:Choice>
                </mc:AlternateContent>
              </w:rPr>
              <w:t xml:space="preserve">Rendered Result</w:t>
            </w:r>
          </w:p>
        </w:tc>
      </w:tr>
      <w:tr>
        <w:trPr>
          <w:cantSplit/>
        </w:trPr>
        <w:tc>
          <w:p>
            <w:r>
              <w:rPr>
                <w:b/>
                <w:color w:val="1b1f23"/>
                <mc:AlternateContent>
                  <mc:Choice Requires="w14">
                    <w14:ligatures w14:val="standardContextual"/>
                    <w14:numForm w14:val="oldStyle"/>
                    <w14:numSpacing w14:val="proportional"/>
                    <w14:cntxtAlts/>
                  </mc:Choice>
                </mc:AlternateContent>
              </w:rPr>
              <w:t xml:space="preserve">Mathematics</w:t>
            </w:r>
          </w:p>
        </w:tc>
        <w:tc>
          <w:p>
            <w:r>
              <w:rPr>
                <w:rFonts w:ascii="Consolas" w:hAnsi="Consolas"/>
                <w:noProof/>
                <w:color w:val="1b1f23"/>
                <w:sz w:val="20"/>
                <w:bdr w:val="single" w:color="auto" w:sz="4" w:space="1"/>
                <w:shd w:val="clear" w:color="auto" w:fill="auto"/>
              </w:rPr>
              <w:t xml:space="preserve">$E = mc^2$</w:t>
            </w:r>
          </w:p>
        </w:tc>
        <w:tc>
          <w:p>
            <w:r>
              <w:rPr>
                <w:color w:val="1b1f23"/>
                <mc:AlternateContent>
                  <mc:Choice Requires="w14">
                    <w14:ligatures w14:val="standardContextual"/>
                    <w14:numForm w14:val="oldStyle"/>
                    <w14:numSpacing w14:val="proportional"/>
                    <w14:cntxtAlts/>
                  </mc:Choice>
                </mc:AlternateContent>
              </w:rPr>
              <w:t xml:space="preserve">Inline math renders in the cell: </w:t>
            </w:r>
            <m:oMath>
              <m:nary>
                <m:naryPr>
                  <m:chr m:val="∑"/>
                  <m:limLoc m:val="undOvr"/>
                  <m:subHide m:val="0"/>
                  <m:supHide m:val="0"/>
                </m:naryPr>
                <m:sub>
                  <m:r>
                    <m:t xml:space="preserve">i</m:t>
                  </m:r>
                  <m:r>
                    <m:t xml:space="preserve">=</m:t>
                  </m:r>
                  <m:r>
                    <m:t xml:space="preserve">1</m:t>
                  </m:r>
                </m:sub>
                <m:sup>
                  <m:r>
                    <m:t xml:space="preserve">k</m:t>
                  </m:r>
                </m:sup>
                <m:e>
                  <m:sSub>
                    <m:e>
                      <m:r>
                        <m:t xml:space="preserve">x</m:t>
                      </m:r>
                    </m:e>
                    <m:sub>
                      <m:r>
                        <m:t xml:space="preserve">i</m:t>
                      </m:r>
                    </m:sub>
                  </m:sSub>
                </m:e>
              </m:nary>
            </m:oMath>
          </w:p>
        </w:tc>
      </w:tr>
      <w:tr>
        <w:trPr>
          <w:cantSplit/>
        </w:trPr>
        <w:tc>
          <w:tcPr>
            <w:shd w:val="clear" w:color="auto" w:fill="F6F8FA"/>
          </w:tcPr>
          <w:p>
            <w:r>
              <w:rPr>
                <w:b/>
                <w:color w:val="1b1f23"/>
                <mc:AlternateContent>
                  <mc:Choice Requires="w14">
                    <w14:ligatures w14:val="standardContextual"/>
                    <w14:numForm w14:val="oldStyle"/>
                    <w14:numSpacing w14:val="proportional"/>
                    <w14:cntxtAlts/>
                  </mc:Choice>
                </mc:AlternateContent>
              </w:rPr>
              <w:t xml:space="preserve">Monospace / Code</w:t>
            </w:r>
          </w:p>
        </w:tc>
        <w:tc>
          <w:tcPr>
            <w:shd w:val="clear" w:color="auto" w:fill="F6F8FA"/>
          </w:tcPr>
          <w:p>
            <w:r>
              <w:rPr>
                <w:rFonts w:ascii="Consolas" w:hAnsi="Consolas"/>
                <w:noProof/>
                <w:color w:val="1b1f23"/>
                <w:sz w:val="20"/>
                <w:bdr w:val="single" w:color="auto" w:sz="4" w:space="1"/>
                <w:shd w:val="clear" w:color="auto" w:fill="auto"/>
              </w:rPr>
              <w:t xml:space="preserve">`let x = 1;`</w:t>
            </w:r>
          </w:p>
        </w:tc>
        <w:tc>
          <w:tcPr>
            <w:shd w:val="clear" w:color="auto" w:fill="F6F8FA"/>
          </w:tcPr>
          <w:p>
            <w:r>
              <w:rPr>
                <w:color w:val="1b1f23"/>
                <mc:AlternateContent>
                  <mc:Choice Requires="w14">
                    <w14:ligatures w14:val="standardContextual"/>
                    <w14:numForm w14:val="oldStyle"/>
                    <w14:numSpacing w14:val="proportional"/>
                    <w14:cntxtAlts/>
                  </mc:Choice>
                </mc:AlternateContent>
              </w:rPr>
              <w:t xml:space="preserve">Inline code keeps its face inside the grid: </w:t>
            </w:r>
            <w:r>
              <w:rPr>
                <w:rFonts w:ascii="Consolas" w:hAnsi="Consolas"/>
                <w:noProof/>
                <w:color w:val="1b1f23"/>
                <w:sz w:val="20"/>
                <w:bdr w:val="single" w:color="auto" w:sz="4" w:space="1"/>
                <w:shd w:val="clear" w:color="auto" w:fill="auto"/>
              </w:rPr>
              <w:t xml:space="preserve">let x = 1;</w:t>
            </w:r>
          </w:p>
        </w:tc>
      </w:tr>
      <w:tr>
        <w:trPr>
          <w:cantSplit/>
        </w:trPr>
        <w:tc>
          <w:p>
            <w:r>
              <w:rPr>
                <w:b/>
                <w:color w:val="1b1f23"/>
                <mc:AlternateContent>
                  <mc:Choice Requires="w14">
                    <w14:ligatures w14:val="standardContextual"/>
                    <w14:numForm w14:val="oldStyle"/>
                    <w14:numSpacing w14:val="proportional"/>
                    <w14:cntxtAlts/>
                  </mc:Choice>
                </mc:AlternateContent>
              </w:rPr>
              <w:t xml:space="preserve">Nested Lists</w:t>
            </w:r>
          </w:p>
        </w:tc>
        <w:tc>
          <w:p>
            <w:r>
              <w:rPr>
                <w:rFonts w:ascii="Consolas" w:hAnsi="Consolas"/>
                <w:noProof/>
                <w:color w:val="1b1f23"/>
                <w:sz w:val="20"/>
                <w:bdr w:val="single" w:color="auto" w:sz="4" w:space="1"/>
                <w:shd w:val="clear" w:color="auto" w:fill="auto"/>
              </w:rPr>
              <w:t xml:space="preserve">- Subitem 1&lt;br&gt;- Subitem 2</w:t>
            </w:r>
          </w:p>
        </w:tc>
        <w:tc>
          <w:p>
            <w:pPr>
              <w:numPr>
                <w:ilvl w:val="0"/>
                <w:numId w:val="1"/>
              </w:numPr>
              <w:contextualSpacing/>
            </w:pPr>
            <w:r>
              <w:rPr>
                <w:color w:val="1b1f23"/>
                <mc:AlternateContent>
                  <mc:Choice Requires="w14">
                    <w14:ligatures w14:val="standardContextual"/>
                    <w14:numForm w14:val="oldStyle"/>
                    <w14:numSpacing w14:val="proportional"/>
                    <w14:cntxtAlts/>
                  </mc:Choice>
                </mc:AlternateContent>
              </w:rPr>
              <w:t xml:space="preserve">Subitem 1</w:t>
            </w:r>
          </w:p>
          <w:p>
            <w:pPr>
              <w:numPr>
                <w:ilvl w:val="0"/>
                <w:numId w:val="1"/>
              </w:numPr>
              <w:contextualSpacing/>
            </w:pPr>
            <w:r>
              <w:rPr>
                <w:color w:val="1b1f23"/>
                <mc:AlternateContent>
                  <mc:Choice Requires="w14">
                    <w14:ligatures w14:val="standardContextual"/>
                    <w14:numForm w14:val="oldStyle"/>
                    <w14:numSpacing w14:val="proportional"/>
                    <w14:cntxtAlts/>
                  </mc:Choice>
                </mc:AlternateContent>
              </w:rPr>
              <w:t xml:space="preserve">Subitem 2</w:t>
            </w:r>
          </w:p>
        </w:tc>
      </w:tr>
      <w:tr>
        <w:trPr>
          <w:cantSplit/>
        </w:trPr>
        <w:tc>
          <w:tcPr>
            <w:shd w:val="clear" w:color="auto" w:fill="F6F8FA"/>
          </w:tcPr>
          <w:p>
            <w:r>
              <w:rPr>
                <w:b/>
                <w:color w:val="1b1f23"/>
                <mc:AlternateContent>
                  <mc:Choice Requires="w14">
                    <w14:ligatures w14:val="standardContextual"/>
                    <w14:numForm w14:val="oldStyle"/>
                    <w14:numSpacing w14:val="proportional"/>
                    <w14:cntxtAlts/>
                  </mc:Choice>
                </mc:AlternateContent>
              </w:rPr>
              <w:t xml:space="preserve">Alert Blocks</w:t>
            </w:r>
          </w:p>
        </w:tc>
        <w:tc>
          <w:tcPr>
            <w:shd w:val="clear" w:color="auto" w:fill="F6F8FA"/>
          </w:tcPr>
          <w:p>
            <w:r>
              <w:rPr>
                <w:rFonts w:ascii="Consolas" w:hAnsi="Consolas"/>
                <w:noProof/>
                <w:color w:val="1b1f23"/>
                <w:sz w:val="20"/>
                <w:bdr w:val="single" w:color="auto" w:sz="4" w:space="1"/>
                <w:shd w:val="clear" w:color="auto" w:fill="auto"/>
              </w:rPr>
              <w:t xml:space="preserve">&gt; [!WARNING] Mind the gap!</w:t>
            </w:r>
          </w:p>
        </w:tc>
        <w:tc>
          <w:tcPr>
            <w:shd w:val="clear" w:color="auto" w:fill="F6F8FA"/>
          </w:tcPr>
          <w:tbl>
            <w:tblPr>
              <w:tblW w:w="5000" w:type="pct"/>
              <w:tblBorders>
                <w:top w:val="none"/>
                <w:left w:val="single" w:color="BF8700" w:sz="30"/>
                <w:bottom w:val="none"/>
                <w:right w:val="none"/>
                <w:insideH w:val="none"/>
                <w:insideV w:val="none"/>
              </w:tblBorders>
            </w:tblPr>
            <w:tblGrid>
              <w:gridCol/>
            </w:tblGrid>
            <w:tr>
              <w:trPr>
                <w:cantSplit/>
              </w:trPr>
              <w:tc>
                <w:tcPr>
                  <w:tcW w:w="5000" w:type="pct"/>
                  <w:shd w:val="clear" w:color="auto" w:fill="F5ECD6"/>
                  <w:tcMar>
                    <w:top w:w="160" w:type="dxa"/>
                    <w:left w:w="240" w:type="dxa"/>
                    <w:bottom w:w="160" w:type="dxa"/>
                    <w:right w:w="240" w:type="dxa"/>
                  </w:tcMar>
                </w:tcPr>
                <w:p>
                  <w:r>
                    <w:rPr>
                      <w:rFonts w:ascii="Segoe UI Emoji" w:hAnsi="Segoe UI Emoji" w:eastAsia="Segoe UI Emoji" w:cs="Segoe UI Emoji"/>
                      <w:b/>
                      <w:color w:val="1b1f23"/>
                      <mc:AlternateContent>
                        <mc:Choice Requires="w14">
                          <w14:ligatures w14:val="standardContextual"/>
                          <w14:numForm w14:val="oldStyle"/>
                          <w14:numSpacing w14:val="proportional"/>
                          <w14:cntxtAlts/>
                        </mc:Choice>
                      </mc:AlternateContent>
                    </w:rPr>
                    <w:t xml:space="preserve">⚠</w:t>
                  </w:r>
                  <w:r>
                    <w:rPr>
                      <w:b/>
                      <w:color w:val="121212"/>
                      <mc:AlternateContent>
                        <mc:Choice Requires="w14">
                          <w14:ligatures w14:val="standardContextual"/>
                          <w14:numForm w14:val="oldStyle"/>
                          <w14:numSpacing w14:val="proportional"/>
                          <w14:cntxtAlts/>
                        </mc:Choice>
                      </mc:AlternateContent>
                    </w:rPr>
                    <w:t xml:space="preserve">️ WARNING</w:t>
                  </w:r>
                </w:p>
                <w:p>
                  <w:r>
                    <w:rPr>
                      <w:color w:val="1b1f23"/>
                      <mc:AlternateContent>
                        <mc:Choice Requires="w14">
                          <w14:ligatures w14:val="standardContextual"/>
                          <w14:numForm w14:val="oldStyle"/>
                          <w14:numSpacing w14:val="proportional"/>
                          <w14:cntxtAlts/>
                        </mc:Choice>
                      </mc:AlternateContent>
                    </w:rPr>
                    <w:t xml:space="preserve">Mind the gap!</w:t>
                  </w:r>
                </w:p>
              </w:tc>
            </w:tr>
          </w:tbl>
          <w:p/>
        </w:tc>
      </w:tr>
      <w:tr>
        <w:trPr>
          <w:cantSplit/>
        </w:trPr>
        <w:tc>
          <w:p>
            <w:r>
              <w:rPr>
                <w:b/>
                <w:color w:val="1b1f23"/>
                <mc:AlternateContent>
                  <mc:Choice Requires="w14">
                    <w14:ligatures w14:val="standardContextual"/>
                    <w14:numForm w14:val="oldStyle"/>
                    <w14:numSpacing w14:val="proportional"/>
                    <w14:cntxtAlts/>
                  </mc:Choice>
                </mc:AlternateContent>
              </w:rPr>
              <w:t xml:space="preserve">Alert, multi-line</w:t>
            </w:r>
          </w:p>
        </w:tc>
        <w:tc>
          <w:p>
            <w:r>
              <w:rPr>
                <w:rFonts w:ascii="Consolas" w:hAnsi="Consolas"/>
                <w:noProof/>
                <w:color w:val="1b1f23"/>
                <w:sz w:val="20"/>
                <w:bdr w:val="single" w:color="auto" w:sz="4" w:space="1"/>
                <w:shd w:val="clear" w:color="auto" w:fill="auto"/>
              </w:rPr>
              <w:t xml:space="preserve">&gt; [!TIP]&lt;br&gt;&gt; Cells carry blocks.</w:t>
            </w:r>
          </w:p>
        </w:tc>
        <w:tc>
          <w:tbl>
            <w:tblPr>
              <w:tblW w:w="5000" w:type="pct"/>
              <w:tblBorders>
                <w:top w:val="none"/>
                <w:left w:val="single" w:color="1F883D" w:sz="30"/>
                <w:bottom w:val="none"/>
                <w:right w:val="none"/>
                <w:insideH w:val="none"/>
                <w:insideV w:val="none"/>
              </w:tblBorders>
            </w:tblPr>
            <w:tblGrid>
              <w:gridCol/>
            </w:tblGrid>
            <w:tr>
              <w:trPr>
                <w:cantSplit/>
              </w:trPr>
              <w:tc>
                <w:tcPr>
                  <w:tcW w:w="5000" w:type="pct"/>
                  <w:shd w:val="clear" w:color="auto" w:fill="DBECE0"/>
                  <w:tcMar>
                    <w:top w:w="160" w:type="dxa"/>
                    <w:left w:w="240" w:type="dxa"/>
                    <w:bottom w:w="160" w:type="dxa"/>
                    <w:right w:w="240" w:type="dxa"/>
                  </w:tcMar>
                </w:tcPr>
                <w:p>
                  <w:r>
                    <w:rPr>
                      <w:rFonts w:ascii="Segoe UI Emoji" w:hAnsi="Segoe UI Emoji" w:eastAsia="Segoe UI Emoji" w:cs="Segoe UI Emoji"/>
                      <w:b/>
                      <w:color w:val="1b1f23"/>
                      <mc:AlternateContent>
                        <mc:Choice Requires="w14">
                          <w14:ligatures w14:val="standardContextual"/>
                          <w14:numForm w14:val="oldStyle"/>
                          <w14:numSpacing w14:val="proportional"/>
                          <w14:cntxtAlts/>
                        </mc:Choice>
                      </mc:AlternateContent>
                    </w:rPr>
                    <w:t xml:space="preserve">💡</w:t>
                  </w:r>
                  <w:r>
                    <w:rPr>
                      <w:b/>
                      <w:color w:val="121212"/>
                      <mc:AlternateContent>
                        <mc:Choice Requires="w14">
                          <w14:ligatures w14:val="standardContextual"/>
                          <w14:numForm w14:val="oldStyle"/>
                          <w14:numSpacing w14:val="proportional"/>
                          <w14:cntxtAlts/>
                        </mc:Choice>
                      </mc:AlternateContent>
                    </w:rPr>
                    <w:t xml:space="preserve"> TIP</w:t>
                  </w:r>
                </w:p>
                <w:p>
                  <w:r>
                    <w:rPr>
                      <w:color w:val="1b1f23"/>
                      <mc:AlternateContent>
                        <mc:Choice Requires="w14">
                          <w14:ligatures w14:val="standardContextual"/>
                          <w14:numForm w14:val="oldStyle"/>
                          <w14:numSpacing w14:val="proportional"/>
                          <w14:cntxtAlts/>
                        </mc:Choice>
                      </mc:AlternateContent>
                    </w:rPr>
                    <w:t xml:space="preserve">Cells carry blocks, not just inline text.</w:t>
                  </w:r>
                </w:p>
              </w:tc>
            </w:tr>
          </w:tbl>
          <w:p/>
        </w:tc>
      </w:tr>
    </w:tbl>
    <w:p>
      <w:pPr>
        <w:spacing w:before="0" w:after="0"/>
      </w:pPr>
    </w:p>
    <w:p>
      <w:pPr>
        <w:pBdr>
          <w:bottom w:val="wave" w:color="D1D5DA" w:sz="6" w:space="1"/>
        </w:pBdr>
      </w:pPr>
    </w:p>
    <w:p>
      <w:pPr>
        <w:pStyle w:val="Heading2"/>
      </w:pPr>
      <w:bookmarkStart w:name="H_multi_tab_options_layout" w:id="7"/>
      <w:r>
        <w:rPr>
          <mc:AlternateContent>
            <mc:Choice Requires="w14">
              <w14:ligatures w14:val="standardContextual"/>
              <w14:numForm w14:val="oldStyle"/>
              <w14:numSpacing w14:val="proportional"/>
              <w14:cntxtAlts/>
            </mc:Choice>
          </mc:AlternateContent>
        </w:rPr>
        <w:t xml:space="preserve">4. Multi-Tab Options Layout</w:t>
      </w:r>
      <w:bookmarkEnd w:id="7"/>
    </w:p>
    <w:p>
      <w:r>
        <w:rPr>
          <mc:AlternateContent>
            <mc:Choice Requires="w14">
              <w14:ligatures w14:val="standardContextual"/>
              <w14:numForm w14:val="oldStyle"/>
              <w14:numSpacing w14:val="proportional"/>
              <w14:cntxtAlts/>
            </mc:Choice>
          </mc:AlternateContent>
        </w:rPr>
        <w:t xml:space="preserve">A native markdown dialect extension allowing tab switches. For static targets like PDF and DOCX, Marksmith converts this structure into segmented, labeled section containers.</w:t>
      </w:r>
    </w:p>
    <w:p>
      <w:r>
        <w:rPr>
          <w:b/>
          <mc:AlternateContent>
            <mc:Choice Requires="w14">
              <w14:ligatures w14:val="standardContextual"/>
              <w14:numForm w14:val="oldStyle"/>
              <w14:numSpacing w14:val="proportional"/>
              <w14:cntxtAlts/>
            </mc:Choice>
          </mc:AlternateContent>
        </w:rPr>
        <w:t xml:space="preserve">Option A: REST API</w:t>
      </w:r>
    </w:p>
    <w:p>
      <w:r>
        <w:rPr>
          <mc:AlternateContent>
            <mc:Choice Requires="w14">
              <w14:ligatures w14:val="standardContextual"/>
              <w14:numForm w14:val="oldStyle"/>
              <w14:numSpacing w14:val="proportional"/>
              <w14:cntxtAlts/>
            </mc:Choice>
          </mc:AlternateContent>
        </w:rPr>
        <w:t xml:space="preserve">To query the service endpoint, send a POST request with the authentication header:</w:t>
      </w:r>
    </w:p>
    <w:p>
      <w:pPr>
        <w:pStyle w:val="MSCode_bash"/>
        <w:keepLines/>
        <w:pBdr>
          <w:top w:val="single" w:color="D1D5DA" w:sz="4" w:space="4"/>
          <w:left w:val="single" w:color="D1D5DA" w:sz="4" w:space="4"/>
          <w:bottom w:val="single" w:color="D1D5DA" w:sz="4" w:space="4"/>
          <w:right w:val="single" w:color="D1D5DA" w:sz="4" w:space="4"/>
        </w:pBdr>
        <w:shd w:val="clear" w:color="auto" w:fill="F6F8FA"/>
        <w:wordWrap w:val="false"/>
        <w:spacing w:before="60" w:after="60" w:line="240" w:lineRule="auto"/>
      </w:pPr>
      <w:r>
        <w:rPr>
          <w:rFonts w:ascii="Consolas" w:hAnsi="Consolas"/>
          <w:noProof/>
          <w:color w:val="953800"/>
        </w:rPr>
        <w:t xml:space="preserve">curl</w:t>
      </w:r>
      <w:r>
        <w:rPr>
          <w:rFonts w:ascii="Consolas" w:hAnsi="Consolas"/>
          <w:noProof/>
          <w:color w:val="24292F"/>
        </w:rPr>
        <w:t xml:space="preserve"> -X POST https://api.marksmith.</w:t>
      </w:r>
      <w:r>
        <w:rPr>
          <w:rFonts w:ascii="Consolas" w:hAnsi="Consolas"/>
          <w:b/>
          <w:noProof/>
          <w:color w:val="0550AE"/>
        </w:rPr>
        <w:t xml:space="preserve">local</w:t>
      </w:r>
      <w:r>
        <w:rPr>
          <w:rFonts w:ascii="Consolas" w:hAnsi="Consolas"/>
          <w:noProof/>
          <w:color w:val="24292F"/>
        </w:rPr>
        <w:t xml:space="preserve">/v1/</w:t>
      </w:r>
      <w:r>
        <w:rPr>
          <w:rFonts w:ascii="Consolas" w:hAnsi="Consolas"/>
          <w:b/>
          <w:noProof/>
          <w:color w:val="0550AE"/>
        </w:rPr>
        <w:t xml:space="preserve">export</w:t>
      </w:r>
      <w:r>
        <w:rPr>
          <w:rFonts w:ascii="Consolas" w:hAnsi="Consolas"/>
          <w:noProof/>
          <w:color w:val="24292F"/>
        </w:rPr>
        <w:t xml:space="preserve"> \</w:t>
        <w:br/>
        <w:t xml:space="preserve">  -H </w:t>
      </w:r>
      <w:r>
        <w:rPr>
          <w:rFonts w:ascii="Consolas" w:hAnsi="Consolas"/>
          <w:noProof/>
          <w:color w:val="0A3069"/>
        </w:rPr>
        <w:t xml:space="preserve">"Authorization: Bearer ms_live_key"</w:t>
      </w:r>
      <w:r>
        <w:rPr>
          <w:rFonts w:ascii="Consolas" w:hAnsi="Consolas"/>
          <w:noProof/>
          <w:color w:val="24292F"/>
        </w:rPr>
        <w:t xml:space="preserve"> \</w:t>
        <w:br/>
        <w:t xml:space="preserve">  -H </w:t>
      </w:r>
      <w:r>
        <w:rPr>
          <w:rFonts w:ascii="Consolas" w:hAnsi="Consolas"/>
          <w:noProof/>
          <w:color w:val="0A3069"/>
        </w:rPr>
        <w:t xml:space="preserve">"Content-Type: application/json"</w:t>
      </w:r>
      <w:r>
        <w:rPr>
          <w:rFonts w:ascii="Consolas" w:hAnsi="Consolas"/>
          <w:noProof/>
          <w:color w:val="24292F"/>
        </w:rPr>
        <w:t xml:space="preserve"> \</w:t>
        <w:br/>
        <w:t xml:space="preserve">  -d </w:t>
      </w:r>
      <w:r>
        <w:rPr>
          <w:rFonts w:ascii="Consolas" w:hAnsi="Consolas"/>
          <w:noProof/>
          <w:color w:val="0A3069"/>
        </w:rPr>
        <w:t xml:space="preserve">'{"format": "pdf"}'</w:t>
      </w:r>
    </w:p>
    <w:p>
      <w:r>
        <w:rPr>
          <w:b/>
          <mc:AlternateContent>
            <mc:Choice Requires="w14">
              <w14:ligatures w14:val="standardContextual"/>
              <w14:numForm w14:val="oldStyle"/>
              <w14:numSpacing w14:val="proportional"/>
              <w14:cntxtAlts/>
            </mc:Choice>
          </mc:AlternateContent>
        </w:rPr>
        <w:t xml:space="preserve">Option B: CLI Ingest</w:t>
      </w:r>
    </w:p>
    <w:p>
      <w:r>
        <w:rPr>
          <mc:AlternateContent>
            <mc:Choice Requires="w14">
              <w14:ligatures w14:val="standardContextual"/>
              <w14:numForm w14:val="oldStyle"/>
              <w14:numSpacing w14:val="proportional"/>
              <w14:cntxtAlts/>
            </mc:Choice>
          </mc:AlternateContent>
        </w:rPr>
        <w:t xml:space="preserve">Alternatively, trigger the locally running instance using the command line:</w:t>
      </w:r>
    </w:p>
    <w:p>
      <w:pPr>
        <w:pStyle w:val="MSCode_powershell"/>
        <w:keepLines/>
        <w:pBdr>
          <w:top w:val="single" w:color="D1D5DA" w:sz="4" w:space="4"/>
          <w:left w:val="single" w:color="D1D5DA" w:sz="4" w:space="4"/>
          <w:bottom w:val="single" w:color="D1D5DA" w:sz="4" w:space="4"/>
          <w:right w:val="single" w:color="D1D5DA" w:sz="4" w:space="4"/>
        </w:pBdr>
        <w:shd w:val="clear" w:color="auto" w:fill="F6F8FA"/>
        <w:wordWrap w:val="false"/>
        <w:spacing w:before="60" w:after="60" w:line="240" w:lineRule="auto"/>
      </w:pPr>
      <w:r>
        <w:rPr>
          <w:rFonts w:ascii="Consolas" w:hAnsi="Consolas"/>
          <w:noProof/>
          <w:color w:val="24292F"/>
        </w:rPr>
        <w:t xml:space="preserve">marksmith.exe --input document.md --format docx --output dist/</w:t>
      </w:r>
    </w:p>
    <w:p>
      <w:r>
        <w:rPr>
          <w:b/>
          <mc:AlternateContent>
            <mc:Choice Requires="w14">
              <w14:ligatures w14:val="standardContextual"/>
              <w14:numForm w14:val="oldStyle"/>
              <w14:numSpacing w14:val="proportional"/>
              <w14:cntxtAlts/>
            </mc:Choice>
          </mc:AlternateContent>
        </w:rPr>
        <w:t xml:space="preserve">Option C: Folder Watcher</w:t>
      </w:r>
    </w:p>
    <w:p>
      <w:r>
        <w:rPr>
          <mc:AlternateContent>
            <mc:Choice Requires="w14">
              <w14:ligatures w14:val="standardContextual"/>
              <w14:numForm w14:val="oldStyle"/>
              <w14:numSpacing w14:val="proportional"/>
              <w14:cntxtAlts/>
            </mc:Choice>
          </mc:AlternateContent>
        </w:rPr>
        <w:t xml:space="preserve">Drop any markdown file into the folder specified in settings:</w:t>
      </w:r>
      <w:r>
        <w:rPr>
          <mc:AlternateContent>
            <mc:Choice Requires="w14">
              <w14:ligatures w14:val="standardContextual"/>
              <w14:numForm w14:val="oldStyle"/>
              <w14:numSpacing w14:val="proportional"/>
              <w14:cntxtAlts/>
            </mc:Choice>
          </mc:AlternateContent>
        </w:rPr>
        <w:t xml:space="preserve"> </w:t>
      </w:r>
      <w:r>
        <w:rPr>
          <w:rFonts w:ascii="Consolas" w:hAnsi="Consolas"/>
          <w:noProof/>
          <w:sz w:val="20"/>
          <w:bdr w:val="single" w:color="auto" w:sz="4" w:space="1"/>
          <w:shd w:val="clear" w:color="auto" w:fill="auto"/>
        </w:rPr>
        <w:t xml:space="preserve">C:\Users\Tony\Documents\Marksmith\Watch</w:t>
      </w:r>
    </w:p>
    <w:p>
      <w:pPr>
        <w:pBdr>
          <w:bottom w:val="wave" w:color="D1D5DA" w:sz="6" w:space="1"/>
        </w:pBdr>
      </w:pPr>
    </w:p>
    <w:p>
      <w:pPr>
        <w:pStyle w:val="Heading2"/>
      </w:pPr>
      <w:bookmarkStart w:name="H_dialect_elements_wikilinks_tags_a" w:id="8"/>
      <w:r>
        <w:rPr>
          <mc:AlternateContent>
            <mc:Choice Requires="w14">
              <w14:ligatures w14:val="standardContextual"/>
              <w14:numForm w14:val="oldStyle"/>
              <w14:numSpacing w14:val="proportional"/>
              <w14:cntxtAlts/>
            </mc:Choice>
          </mc:AlternateContent>
        </w:rPr>
        <w:t xml:space="preserve">5. Dialect Elements: WikiLinks, Tags, and Collapsible Callouts</w:t>
      </w:r>
      <w:bookmarkEnd w:id="8"/>
    </w:p>
    <w:p>
      <w:pPr>
        <w:pStyle w:val="Heading3"/>
      </w:pPr>
      <w:bookmarkStart w:name="H_custom_dialect_links_badges" w:id="9"/>
      <w:r>
        <w:rPr>
          <mc:AlternateContent>
            <mc:Choice Requires="w14">
              <w14:ligatures w14:val="standardContextual"/>
              <w14:numForm w14:val="oldStyle"/>
              <w14:numSpacing w14:val="proportional"/>
              <w14:cntxtAlts/>
            </mc:Choice>
          </mc:AlternateContent>
        </w:rPr>
        <w:t xml:space="preserve">5.1. Custom Dialect Links &amp; Badges</w:t>
      </w:r>
      <w:bookmarkEnd w:id="9"/>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Check the latest design guidelines in the </w:t>
      </w:r>
      <w:r>
        <w:rPr>
          <w:noProof/>
          <w:color w:val="000000"/>
          <w:u w:val="dash"/>
          <mc:AlternateContent>
            <mc:Choice Requires="w14">
              <w14:ligatures w14:val="standardContextual"/>
              <w14:numForm w14:val="oldStyle"/>
              <w14:numSpacing w14:val="proportional"/>
              <w14:cntxtAlts/>
            </mc:Choice>
          </mc:AlternateContent>
        </w:rPr>
        <w:t xml:space="preserve">Project Architecture</w:t>
      </w:r>
      <w:r>
        <w:rPr>
          <w:noProof/>
          <mc:AlternateContent>
            <mc:Choice Requires="w14">
              <w14:ligatures w14:val="standardContextual"/>
              <w14:numForm w14:val="oldStyle"/>
              <w14:numSpacing w14:val="proportional"/>
              <w14:cntxtAlts/>
            </mc:Choice>
          </mc:AlternateContent>
        </w:rPr>
        <w:t xml:space="preserve"> draft.</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Redirect to custom landing page: </w:t>
      </w:r>
      <w:r>
        <w:rPr>
          <w:noProof/>
          <w:color w:val="000000"/>
          <w:u w:val="dash"/>
          <mc:AlternateContent>
            <mc:Choice Requires="w14">
              <w14:ligatures w14:val="standardContextual"/>
              <w14:numForm w14:val="oldStyle"/>
              <w14:numSpacing w14:val="proportional"/>
              <w14:cntxtAlts/>
            </mc:Choice>
          </mc:AlternateContent>
        </w:rPr>
        <w:t xml:space="preserve">Detailed Product Specification</w:t>
      </w:r>
      <w:r>
        <w:rPr>
          <w:noProof/>
          <mc:AlternateContent>
            <mc:Choice Requires="w14">
              <w14:ligatures w14:val="standardContextual"/>
              <w14:numForm w14:val="oldStyle"/>
              <w14:numSpacing w14:val="proportional"/>
              <w14:cntxtAlts/>
            </mc:Choice>
          </mc:AlternateContent>
        </w:rPr>
        <w:t xml:space="preserve">.</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High-priority release item tagged with </w:t>
      </w:r>
      <w:r>
        <w:rPr>
          <w:rFonts w:ascii="Consolas" w:hAnsi="Consolas"/>
          <w:noProof/>
          <w:sz w:val="20"/>
          <w:bdr w:val="single" w:color="auto" w:sz="4" w:space="1"/>
          <w:shd w:val="clear" w:color="auto" w:fill="auto"/>
        </w:rPr>
        <w:t xml:space="preserve">#milestone-1.0</w:t>
      </w:r>
      <w:r>
        <w:rPr>
          <mc:AlternateContent>
            <mc:Choice Requires="w14">
              <w14:ligatures w14:val="standardContextual"/>
              <w14:numForm w14:val="oldStyle"/>
              <w14:numSpacing w14:val="proportional"/>
              <w14:cntxtAlts/>
            </mc:Choice>
          </mc:AlternateContent>
        </w:rPr>
        <w:t xml:space="preserve"> and </w:t>
      </w:r>
      <w:r>
        <w:rPr>
          <w:rFonts w:ascii="Consolas" w:hAnsi="Consolas"/>
          <w:noProof/>
          <w:sz w:val="20"/>
          <w:bdr w:val="single" w:color="auto" w:sz="4" w:space="1"/>
          <w:shd w:val="clear" w:color="auto" w:fill="auto"/>
        </w:rPr>
        <w:t xml:space="preserve">#security-audit</w:t>
      </w:r>
      <w:r>
        <w:rPr>
          <mc:AlternateContent>
            <mc:Choice Requires="w14">
              <w14:ligatures w14:val="standardContextual"/>
              <w14:numForm w14:val="oldStyle"/>
              <w14:numSpacing w14:val="proportional"/>
              <w14:cntxtAlts/>
            </mc:Choice>
          </mc:AlternateContent>
        </w:rPr>
        <w:t xml:space="preserve">.</w:t>
      </w:r>
    </w:p>
    <w:p>
      <w:pPr>
        <w:pStyle w:val="Heading3"/>
      </w:pPr>
      <w:bookmarkStart w:name="H_foldable_obsidian_style_callouts" w:id="10"/>
      <w:r>
        <w:rPr>
          <mc:AlternateContent>
            <mc:Choice Requires="w14">
              <w14:ligatures w14:val="standardContextual"/>
              <w14:numForm w14:val="oldStyle"/>
              <w14:numSpacing w14:val="proportional"/>
              <w14:cntxtAlts/>
            </mc:Choice>
          </mc:AlternateContent>
        </w:rPr>
        <w:t xml:space="preserve">5.2. Foldable Obsidian-Style Callouts</w:t>
      </w:r>
      <w:bookmarkEnd w:id="10"/>
    </w:p>
    <w:p>
      <w:pPr>
        <w:pStyle w:val="Heading4"/>
        <w:outlineLvl w:val="3"/>
        <w15:collapsed w:val="true"/>
      </w:pPr>
      <w:r>
        <w:rPr>
          <w:b/>
          <w:color w:val="1B1F23"/>
          <mc:AlternateContent>
            <mc:Choice Requires="w14">
              <w14:ligatures w14:val="standardContextual"/>
              <w14:numForm w14:val="oldStyle"/>
              <w14:numSpacing w14:val="proportional"/>
              <w14:cntxtAlts/>
            </mc:Choice>
          </mc:AlternateContent>
        </w:rPr>
        <w:t xml:space="preserve">WARNING · Critical Security Reminder</w:t>
      </w:r>
    </w:p>
    <w:p>
      <w:r>
        <w:rPr>
          <mc:AlternateContent>
            <mc:Choice Requires="w14">
              <w14:ligatures w14:val="standardContextual"/>
              <w14:numForm w14:val="oldStyle"/>
              <w14:numSpacing w14:val="proportional"/>
              <w14:cntxtAlts/>
            </mc:Choice>
          </mc:AlternateContent>
        </w:rPr>
        <w:t xml:space="preserve">This block should collapse by default in interactive preview, but display fully expanded in DOCX/PDF output.</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Never store database credentials in the project root.</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Bind the server strictly to loopback IP </w:t>
      </w:r>
      <w:r>
        <w:rPr>
          <w:rFonts w:ascii="Consolas" w:hAnsi="Consolas"/>
          <w:noProof/>
          <w:sz w:val="20"/>
          <w:bdr w:val="single" w:color="auto" w:sz="4" w:space="1"/>
          <w:shd w:val="clear" w:color="auto" w:fill="auto"/>
        </w:rPr>
        <w:t xml:space="preserve">#127.0.0.1</w:t>
      </w:r>
      <w:r>
        <w:rPr>
          <mc:AlternateContent>
            <mc:Choice Requires="w14">
              <w14:ligatures w14:val="standardContextual"/>
              <w14:numForm w14:val="oldStyle"/>
              <w14:numSpacing w14:val="proportional"/>
              <w14:cntxtAlts/>
            </mc:Choice>
          </mc:AlternateContent>
        </w:rPr>
        <w:t xml:space="preserve">.</w:t>
      </w:r>
    </w:p>
    <w:p>
      <w:pPr>
        <w:pBdr>
          <w:bottom w:val="wave" w:color="D1D5DA" w:sz="6" w:space="1"/>
        </w:pBdr>
      </w:pPr>
    </w:p>
    <w:p>
      <w:pPr>
        <w:pStyle w:val="Heading2"/>
      </w:pPr>
      <w:bookmarkStart w:name="H_deeply_nested_list_indentation" w:id="11"/>
      <w:r>
        <w:rPr>
          <mc:AlternateContent>
            <mc:Choice Requires="w14">
              <w14:ligatures w14:val="standardContextual"/>
              <w14:numForm w14:val="oldStyle"/>
              <w14:numSpacing w14:val="proportional"/>
              <w14:cntxtAlts/>
            </mc:Choice>
          </mc:AlternateContent>
        </w:rPr>
        <w:t xml:space="preserve">6. Deeply Nested List Indentation</w:t>
      </w:r>
      <w:bookmarkEnd w:id="11"/>
    </w:p>
    <w:p>
      <w:r>
        <w:rPr>
          <mc:AlternateContent>
            <mc:Choice Requires="w14">
              <w14:ligatures w14:val="standardContextual"/>
              <w14:numForm w14:val="oldStyle"/>
              <w14:numSpacing w14:val="proportional"/>
              <w14:cntxtAlts/>
            </mc:Choice>
          </mc:AlternateContent>
        </w:rPr>
        <w:t xml:space="preserve">List items with mixed numbering, bullets, blockquotes, and code blocks:</w:t>
      </w:r>
    </w:p>
    <w:p>
      <w:pPr>
        <w:numPr>
          <w:ilvl w:val="0"/>
          <w:numId w:val="2"/>
        </w:numPr>
        <w:contextualSpacing/>
      </w:pPr>
      <w:r>
        <w:rPr>
          <mc:AlternateContent>
            <mc:Choice Requires="w14">
              <w14:ligatures w14:val="standardContextual"/>
              <w14:numForm w14:val="oldStyle"/>
              <w14:numSpacing w14:val="proportional"/>
              <w14:cntxtAlts/>
            </mc:Choice>
          </mc:AlternateContent>
        </w:rPr>
        <w:t xml:space="preserve">Level 1: Primary Configuration</w:t>
      </w:r>
    </w:p>
    <w:p>
      <w:pPr>
        <w:numPr>
          <w:ilvl w:val="1"/>
          <w:numId w:val="1"/>
        </w:numPr>
        <w:contextualSpacing/>
      </w:pPr>
      <w:r>
        <w:rPr>
          <mc:AlternateContent>
            <mc:Choice Requires="w14">
              <w14:ligatures w14:val="standardContextual"/>
              <w14:numForm w14:val="oldStyle"/>
              <w14:numSpacing w14:val="proportional"/>
              <w14:cntxtAlts/>
            </mc:Choice>
          </mc:AlternateContent>
        </w:rPr>
        <w:t xml:space="preserve">Level 2: Databases</w:t>
      </w:r>
    </w:p>
    <w:p>
      <w:pPr>
        <w:numPr>
          <w:ilvl w:val="2"/>
          <w:numId w:val="3"/>
        </w:numPr>
        <w:contextualSpacing/>
      </w:pPr>
      <w:r>
        <w:rPr>
          <mc:AlternateContent>
            <mc:Choice Requires="w14">
              <w14:ligatures w14:val="standardContextual"/>
              <w14:numForm w14:val="oldStyle"/>
              <w14:numSpacing w14:val="proportional"/>
              <w14:cntxtAlts/>
            </mc:Choice>
          </mc:AlternateContent>
        </w:rPr>
        <w:t xml:space="preserve">Level 3: Postgresql Master</w:t>
      </w:r>
    </w:p>
    <w:p>
      <w:pPr>
        <w:pBdr>
          <w:left w:val="single" w:color="D1D5DA" w:sz="18" w:space="8"/>
        </w:pBdr>
        <w:shd w:val="clear" w:color="auto" w:fill="F6F8FA"/>
        <w:ind w:left="360"/>
      </w:pPr>
      <w:r>
        <w:rPr>
          <mc:AlternateContent>
            <mc:Choice Requires="w14">
              <w14:ligatures w14:val="standardContextual"/>
              <w14:numForm w14:val="oldStyle"/>
              <w14:numSpacing w14:val="proportional"/>
              <w14:cntxtAlts/>
            </mc:Choice>
          </mc:AlternateContent>
        </w:rPr>
        <w:t xml:space="preserve">Every ledger write must be committed to disk before transaction acknowledgment.</w:t>
      </w:r>
    </w:p>
    <w:p>
      <w:pPr>
        <w:pStyle w:val="MSCode_sql"/>
        <w:keepLines/>
        <w:pBdr>
          <w:top w:val="single" w:color="D1D5DA" w:sz="4" w:space="4"/>
          <w:left w:val="single" w:color="D1D5DA" w:sz="4" w:space="4"/>
          <w:bottom w:val="single" w:color="D1D5DA" w:sz="4" w:space="4"/>
          <w:right w:val="single" w:color="D1D5DA" w:sz="4" w:space="4"/>
        </w:pBdr>
        <w:shd w:val="clear" w:color="auto" w:fill="F6F8FA"/>
        <w:wordWrap w:val="false"/>
        <w:spacing w:before="60" w:after="60" w:line="240" w:lineRule="auto"/>
      </w:pPr>
      <w:r>
        <w:rPr>
          <w:rFonts w:ascii="Consolas" w:hAnsi="Consolas"/>
          <w:b/>
          <w:noProof/>
          <w:color w:val="0550AE"/>
        </w:rPr>
        <w:t xml:space="preserve">INSERT</w:t>
      </w:r>
      <w:r>
        <w:rPr>
          <w:rFonts w:ascii="Consolas" w:hAnsi="Consolas"/>
          <w:noProof/>
          <w:color w:val="24292F"/>
        </w:rPr>
        <w:t xml:space="preserve"> </w:t>
      </w:r>
      <w:r>
        <w:rPr>
          <w:rFonts w:ascii="Consolas" w:hAnsi="Consolas"/>
          <w:b/>
          <w:noProof/>
          <w:color w:val="0550AE"/>
        </w:rPr>
        <w:t xml:space="preserve">INTO</w:t>
      </w:r>
      <w:r>
        <w:rPr>
          <w:rFonts w:ascii="Consolas" w:hAnsi="Consolas"/>
          <w:noProof/>
          <w:color w:val="24292F"/>
        </w:rPr>
        <w:t xml:space="preserve"> </w:t>
      </w:r>
      <w:r>
        <w:rPr>
          <w:rFonts w:ascii="Consolas" w:hAnsi="Consolas"/>
          <w:noProof/>
          <w:color w:val="8250DF"/>
        </w:rPr>
        <w:t xml:space="preserve">ledger </w:t>
      </w:r>
      <w:r>
        <w:rPr>
          <w:rFonts w:ascii="Consolas" w:hAnsi="Consolas"/>
          <w:noProof/>
          <w:color w:val="24292F"/>
        </w:rPr>
        <w:t xml:space="preserve">(state, recorded_at) </w:t>
      </w:r>
      <w:r>
        <w:rPr>
          <w:rFonts w:ascii="Consolas" w:hAnsi="Consolas"/>
          <w:b/>
          <w:noProof/>
          <w:color w:val="0550AE"/>
        </w:rPr>
        <w:t xml:space="preserve">VALUES</w:t>
      </w:r>
      <w:r>
        <w:rPr>
          <w:rFonts w:ascii="Consolas" w:hAnsi="Consolas"/>
          <w:noProof/>
          <w:color w:val="8250DF"/>
        </w:rPr>
        <w:t xml:space="preserve"> </w:t>
      </w:r>
      <w:r>
        <w:rPr>
          <w:rFonts w:ascii="Consolas" w:hAnsi="Consolas"/>
          <w:noProof/>
          <w:color w:val="24292F"/>
        </w:rPr>
        <w:t xml:space="preserve">(</w:t>
      </w:r>
      <w:r>
        <w:rPr>
          <w:rFonts w:ascii="Consolas" w:hAnsi="Consolas"/>
          <w:noProof/>
          <w:color w:val="0A3069"/>
        </w:rPr>
        <w:t xml:space="preserve">'AUTHORIZED'</w:t>
      </w:r>
      <w:r>
        <w:rPr>
          <w:rFonts w:ascii="Consolas" w:hAnsi="Consolas"/>
          <w:noProof/>
          <w:color w:val="24292F"/>
        </w:rPr>
        <w:t xml:space="preserve">, </w:t>
      </w:r>
      <w:r>
        <w:rPr>
          <w:rFonts w:ascii="Consolas" w:hAnsi="Consolas"/>
          <w:noProof/>
          <w:color w:val="8250DF"/>
        </w:rPr>
        <w:t xml:space="preserve">NOW</w:t>
      </w:r>
      <w:r>
        <w:rPr>
          <w:rFonts w:ascii="Consolas" w:hAnsi="Consolas"/>
          <w:noProof/>
          <w:color w:val="24292F"/>
        </w:rPr>
        <w:t xml:space="preserve">());</w:t>
      </w:r>
    </w:p>
    <w:p>
      <w:pPr>
        <w:numPr>
          <w:ilvl w:val="2"/>
          <w:numId w:val="3"/>
        </w:numPr>
        <w:contextualSpacing/>
      </w:pPr>
      <w:r>
        <w:rPr>
          <mc:AlternateContent>
            <mc:Choice Requires="w14">
              <w14:ligatures w14:val="standardContextual"/>
              <w14:numForm w14:val="oldStyle"/>
              <w14:numSpacing w14:val="proportional"/>
              <w14:cntxtAlts/>
            </mc:Choice>
          </mc:AlternateContent>
        </w:rPr>
        <w:t xml:space="preserve">Level 3: Redis Read Replica (cache-aside)</w:t>
      </w:r>
    </w:p>
    <w:p>
      <w:pPr>
        <w:numPr>
          <w:ilvl w:val="1"/>
          <w:numId w:val="1"/>
        </w:numPr>
        <w:contextualSpacing/>
      </w:pPr>
      <w:r>
        <w:rPr>
          <mc:AlternateContent>
            <mc:Choice Requires="w14">
              <w14:ligatures w14:val="standardContextual"/>
              <w14:numForm w14:val="oldStyle"/>
              <w14:numSpacing w14:val="proportional"/>
              <w14:cntxtAlts/>
            </mc:Choice>
          </mc:AlternateContent>
        </w:rPr>
        <w:t xml:space="preserve">Level 2: Queue</w:t>
      </w:r>
    </w:p>
    <w:p>
      <w:pPr>
        <w:numPr>
          <w:ilvl w:val="0"/>
          <w:numId w:val="2"/>
        </w:numPr>
        <w:contextualSpacing/>
      </w:pPr>
      <w:r>
        <w:rPr>
          <mc:AlternateContent>
            <mc:Choice Requires="w14">
              <w14:ligatures w14:val="standardContextual"/>
              <w14:numForm w14:val="oldStyle"/>
              <w14:numSpacing w14:val="proportional"/>
              <w14:cntxtAlts/>
            </mc:Choice>
          </mc:AlternateContent>
        </w:rPr>
        <w:t xml:space="preserve">Level 1: Deployment Target</w:t>
      </w:r>
    </w:p>
    <w:p>
      <w:pPr>
        <w:pBdr>
          <w:bottom w:val="wave" w:color="D1D5DA" w:sz="6" w:space="1"/>
        </w:pBdr>
      </w:pPr>
    </w:p>
    <w:p>
      <w:pPr>
        <w:pStyle w:val="Heading2"/>
      </w:pPr>
      <w:bookmarkStart w:name="H_complex_mermaid_diagrams" w:id="12"/>
      <w:r>
        <w:rPr>
          <mc:AlternateContent>
            <mc:Choice Requires="w14">
              <w14:ligatures w14:val="standardContextual"/>
              <w14:numForm w14:val="oldStyle"/>
              <w14:numSpacing w14:val="proportional"/>
              <w14:cntxtAlts/>
            </mc:Choice>
          </mc:AlternateContent>
        </w:rPr>
        <w:t xml:space="preserve">7. Complex Mermaid Diagrams</w:t>
      </w:r>
      <w:bookmarkEnd w:id="12"/>
    </w:p>
    <w:p>
      <w:pPr>
        <w:pStyle w:val="Heading3"/>
      </w:pPr>
      <w:bookmarkStart w:name="H_flowchart_with_subgraphs" w:id="13"/>
      <w:r>
        <w:rPr>
          <mc:AlternateContent>
            <mc:Choice Requires="w14">
              <w14:ligatures w14:val="standardContextual"/>
              <w14:numForm w14:val="oldStyle"/>
              <w14:numSpacing w14:val="proportional"/>
              <w14:cntxtAlts/>
            </mc:Choice>
          </mc:AlternateContent>
        </w:rPr>
        <w:t xml:space="preserve">7.1. Flowchart with Subgraphs</w:t>
      </w:r>
      <w:bookmarkEnd w:id="13"/>
    </w:p>
    <w:p>
      <w:pPr>
        <w:spacing w:before="120" w:after="120"/>
        <w:jc w:val="center"/>
      </w:pPr>
      <w:r>
        <w:drawing>
          <wp:inline xmlns:wp="http://schemas.openxmlformats.org/drawingml/2006/wordprocessingDrawing" xmlns:a="http://schemas.openxmlformats.org/drawingml/2006/main" xmlns:wpg="http://schemas.microsoft.com/office/word/2010/wordprocessingGroup" xmlns:wps="http://schemas.microsoft.com/office/word/2010/wordprocessingShape" xmlns:w="http://schemas.openxmlformats.org/wordprocessingml/2006/main" distT="0" distB="0" distL="0" distR="0">
            <wp:extent cx="3968750" cy="3860800"/>
            <wp:effectExtent l="0" t="0" r="0" b="0"/>
            <wp:docPr id="1000" name="Mermaid diagram" descr="Marksmith mermaid flowchart dir=TB"/>
            <wp:cNvGraphicFramePr/>
            <a:graphic>
              <a:graphicData uri="http://schemas.microsoft.com/office/word/2010/wordprocessingGroup">
                <wpg:wgp>
                  <wpg:cNvGrpSpPr/>
                  <wpg:grpSpPr>
                    <a:xfrm>
                      <a:off x="0" y="0"/>
                      <a:ext cx="3968750" cy="3860800"/>
                      <a:chOff x="0" y="0"/>
                      <a:chExt cx="3968750" cy="3860800"/>
                    </a:xfrm>
                  </wpg:grpSpPr>
                  <wps:wsp>
                    <wps:cNvPr id="100006" name="ms:edge=A--&gt;B;style=Solid;start=None;end=Triangle"/>
                    <wps:cNvCnPr>
                      <a:stCxn id="100001" idx="2"/>
                      <a:endCxn id="100002" idx="0"/>
                    </wps:cNvCnPr>
                    <wps:spPr>
                      <a:xfrm>
                        <a:off x="1984375" y="558800"/>
                        <a:ext cx="0" cy="584200"/>
                      </a:xfrm>
                      <a:prstGeom prst="straightConnector1">
                        <a:avLst/>
                      </a:prstGeom>
                      <a:noFill/>
                      <a:ln w="12700">
                        <a:solidFill>
                          <a:srgbClr val="333333"/>
                        </a:solidFill>
                        <a:headEnd type="none"/>
                        <a:tailEnd type="triangle" w="med" len="med"/>
                      </a:ln>
                    </wps:spPr>
                    <wps:bodyPr/>
                  </wps:wsp>
                  <wps:wsp>
                    <wps:cNvPr id="100007" name="ms:edge=B--&gt;C;style=Solid;start=None;end=Triangle"/>
                    <wps:cNvCnPr>
                      <a:stCxn id="100002" idx="2"/>
                      <a:endCxn id="100003" idx="0"/>
                    </wps:cNvCnPr>
                    <wps:spPr>
                      <a:xfrm>
                        <a:off x="1984375" y="1574800"/>
                        <a:ext cx="0" cy="584200"/>
                      </a:xfrm>
                      <a:prstGeom prst="straightConnector1">
                        <a:avLst/>
                      </a:prstGeom>
                      <a:noFill/>
                      <a:ln w="12700">
                        <a:solidFill>
                          <a:srgbClr val="333333"/>
                        </a:solidFill>
                        <a:headEnd type="none"/>
                        <a:tailEnd type="triangle" w="med" len="med"/>
                      </a:ln>
                    </wps:spPr>
                    <wps:bodyPr/>
                  </wps:wsp>
                  <wps:wsp>
                    <wps:cNvPr id="100008" name="ms:edge=C--&gt;D;style=Solid;start=None;end=Triangle"/>
                    <wps:cNvCnPr>
                      <a:stCxn id="100003" idx="2"/>
                      <a:endCxn id="100004" idx="0"/>
                    </wps:cNvCnPr>
                    <wps:spPr>
                      <a:xfrm flipH="1">
                        <a:off x="857250" y="2717800"/>
                        <a:ext cx="1127125" cy="584200"/>
                      </a:xfrm>
                      <a:prstGeom prst="straightConnector1">
                        <a:avLst/>
                      </a:prstGeom>
                      <a:noFill/>
                      <a:ln w="12700">
                        <a:solidFill>
                          <a:srgbClr val="333333"/>
                        </a:solidFill>
                        <a:headEnd type="none"/>
                        <a:tailEnd type="triangle" w="med" len="med"/>
                      </a:ln>
                    </wps:spPr>
                    <wps:bodyPr/>
                  </wps:wsp>
                  <wps:wsp>
                    <wps:cNvPr id="100009" name="ms:edge=C--&gt;E;style=Solid;start=None;end=Triangle"/>
                    <wps:cNvCnPr>
                      <a:stCxn id="100003" idx="2"/>
                      <a:endCxn id="100005" idx="0"/>
                    </wps:cNvCnPr>
                    <wps:spPr>
                      <a:xfrm>
                        <a:off x="1984375" y="2717800"/>
                        <a:ext cx="908050" cy="584200"/>
                      </a:xfrm>
                      <a:prstGeom prst="straightConnector1">
                        <a:avLst/>
                      </a:prstGeom>
                      <a:noFill/>
                      <a:ln w="12700">
                        <a:solidFill>
                          <a:srgbClr val="333333"/>
                        </a:solidFill>
                        <a:headEnd type="none"/>
                        <a:tailEnd type="triangle" w="med" len="med"/>
                      </a:ln>
                    </wps:spPr>
                    <wps:bodyPr/>
                  </wps:wsp>
                  <wps:wsp>
                    <wps:cNvPr id="100001" name="ms:node=A;kind=Rectangle"/>
                    <wps:cNvSpPr/>
                    <wps:spPr>
                      <a:xfrm>
                        <a:off x="1196975" y="127000"/>
                        <a:ext cx="1574800" cy="431800"/>
                      </a:xfrm>
                      <a:prstGeom prst="rect">
                        <a:avLst/>
                      </a:prstGeom>
                      <a:solidFill>
                        <a:srgbClr val="F6F8FA"/>
                      </a:solidFill>
                      <a:ln w="12700">
                        <a:solidFill>
                          <a:srgbClr val="D1D5DA"/>
                        </a:solidFill>
                      </a:ln>
                    </wps:spPr>
                    <wps:txbx>
                      <w:txbxContent>
                        <w:p>
                          <w:pPr>
                            <w:suppressAutoHyphens/>
                            <w:spacing w:before="0" w:after="0" w:line="216" w:lineRule="auto"/>
                            <w:jc w:val="center"/>
                          </w:pPr>
                          <w:r>
                            <w:rPr>
                              <w:color w:val="1B1F23"/>
                              <w:sz w:val="18"/>
                            </w:rPr>
                            <w:t xml:space="preserve">Ingestion Service</w:t>
                          </w:r>
                        </w:p>
                      </w:txbxContent>
                    </wps:txbx>
                    <wps:bodyPr lIns="27432" tIns="9144" rIns="27432" bIns="9144" anchor="ctr">
                      <a:noAutofit/>
                    </wps:bodyPr>
                  </wps:wsp>
                  <wps:wsp>
                    <wps:cNvPr id="100002" name="ms:node=B;kind=RoundedRectangle"/>
                    <wps:cNvSpPr/>
                    <wps:spPr>
                      <a:xfrm>
                        <a:off x="1196975" y="1143000"/>
                        <a:ext cx="1574800" cy="431800"/>
                      </a:xfrm>
                      <a:prstGeom prst="roundRect">
                        <a:avLst/>
                      </a:prstGeom>
                      <a:solidFill>
                        <a:srgbClr val="F6F8FA"/>
                      </a:solidFill>
                      <a:ln w="12700">
                        <a:solidFill>
                          <a:srgbClr val="D1D5DA"/>
                        </a:solidFill>
                      </a:ln>
                    </wps:spPr>
                    <wps:txbx>
                      <w:txbxContent>
                        <w:p>
                          <w:pPr>
                            <w:suppressAutoHyphens/>
                            <w:spacing w:before="0" w:after="0" w:line="216" w:lineRule="auto"/>
                            <w:jc w:val="center"/>
                          </w:pPr>
                          <w:r>
                            <w:rPr>
                              <w:color w:val="1B1F23"/>
                              <w:sz w:val="18"/>
                            </w:rPr>
                            <w:t xml:space="preserve">Validation Engine</w:t>
                          </w:r>
                        </w:p>
                      </w:txbxContent>
                    </wps:txbx>
                    <wps:bodyPr lIns="27432" tIns="9144" rIns="27432" bIns="9144" anchor="ctr">
                      <a:noAutofit/>
                    </wps:bodyPr>
                  </wps:wsp>
                  <wps:wsp>
                    <wps:cNvPr id="100003" name="ms:node=C;kind=RhombusDiamond"/>
                    <wps:cNvSpPr/>
                    <wps:spPr>
                      <a:xfrm>
                        <a:off x="1008380" y="2159000"/>
                        <a:ext cx="1951990" cy="558800"/>
                      </a:xfrm>
                      <a:prstGeom prst="diamond">
                        <a:avLst/>
                      </a:prstGeom>
                      <a:solidFill>
                        <a:srgbClr val="F6F8FA"/>
                      </a:solidFill>
                      <a:ln w="12700">
                        <a:solidFill>
                          <a:srgbClr val="D1D5DA"/>
                        </a:solidFill>
                      </a:ln>
                    </wps:spPr>
                    <wps:txbx>
                      <w:txbxContent>
                        <w:p>
                          <w:pPr>
                            <w:suppressAutoHyphens/>
                            <w:spacing w:before="0" w:after="0" w:line="216" w:lineRule="auto"/>
                            <w:jc w:val="center"/>
                          </w:pPr>
                          <w:r>
                            <w:rPr>
                              <w:color w:val="1B1F23"/>
                              <w:sz w:val="18"/>
                            </w:rPr>
                            <w:t xml:space="preserve">Decision Route</w:t>
                          </w:r>
                        </w:p>
                      </w:txbxContent>
                    </wps:txbx>
                    <wps:bodyPr lIns="27432" tIns="9144" rIns="27432" bIns="9144" anchor="ctr">
                      <a:noAutofit/>
                    </wps:bodyPr>
                  </wps:wsp>
                  <wps:wsp>
                    <wps:cNvPr id="100004" name="ms:node=D;kind=CylindricalDatabase"/>
                    <wps:cNvSpPr/>
                    <wps:spPr>
                      <a:xfrm>
                        <a:off x="127000" y="3302000"/>
                        <a:ext cx="1460500" cy="431800"/>
                      </a:xfrm>
                      <a:prstGeom prst="can">
                        <a:avLst/>
                      </a:prstGeom>
                      <a:solidFill>
                        <a:srgbClr val="F6F8FA"/>
                      </a:solidFill>
                      <a:ln w="12700">
                        <a:solidFill>
                          <a:srgbClr val="D1D5DA"/>
                        </a:solidFill>
                      </a:ln>
                    </wps:spPr>
                    <wps:txbx>
                      <w:txbxContent>
                        <w:p>
                          <w:pPr>
                            <w:suppressAutoHyphens/>
                            <w:spacing w:before="0" w:after="0" w:line="216" w:lineRule="auto"/>
                            <w:jc w:val="center"/>
                          </w:pPr>
                          <w:r>
                            <w:rPr>
                              <w:color w:val="1B1F23"/>
                              <w:sz w:val="18"/>
                            </w:rPr>
                            <w:t xml:space="preserve">Main Database</w:t>
                          </w:r>
                        </w:p>
                      </w:txbxContent>
                    </wps:txbx>
                    <wps:bodyPr lIns="27432" tIns="9144" rIns="27432" bIns="9144" anchor="ctr">
                      <a:noAutofit/>
                    </wps:bodyPr>
                  </wps:wsp>
                  <wps:wsp>
                    <wps:cNvPr id="100005" name="ms:node=E;kind=CylindricalDatabase"/>
                    <wps:cNvSpPr/>
                    <wps:spPr>
                      <a:xfrm>
                        <a:off x="1943100" y="3302000"/>
                        <a:ext cx="1898650" cy="431800"/>
                      </a:xfrm>
                      <a:prstGeom prst="can">
                        <a:avLst/>
                      </a:prstGeom>
                      <a:solidFill>
                        <a:srgbClr val="F6F8FA"/>
                      </a:solidFill>
                      <a:ln w="12700">
                        <a:solidFill>
                          <a:srgbClr val="D1D5DA"/>
                        </a:solidFill>
                      </a:ln>
                    </wps:spPr>
                    <wps:txbx>
                      <w:txbxContent>
                        <w:p>
                          <w:pPr>
                            <w:suppressAutoHyphens/>
                            <w:spacing w:before="0" w:after="0" w:line="216" w:lineRule="auto"/>
                            <w:jc w:val="center"/>
                          </w:pPr>
                          <w:r>
                            <w:rPr>
                              <w:color w:val="1B1F23"/>
                              <w:sz w:val="18"/>
                            </w:rPr>
                            <w:t xml:space="preserve">Quarantine Archive</w:t>
                          </w:r>
                        </w:p>
                      </w:txbxContent>
                    </wps:txbx>
                    <wps:bodyPr lIns="27432" tIns="9144" rIns="27432" bIns="9144" anchor="ctr">
                      <a:noAutofit/>
                    </wps:bodyPr>
                  </wps:wsp>
                  <wps:wsp>
                    <wps:cNvPr id="100010" name="ms:edge=C--&gt;D;label=Valid"/>
                    <wps:cNvSpPr/>
                    <wps:spPr>
                      <a:xfrm>
                        <a:off x="1352916" y="2747232"/>
                        <a:ext cx="419100" cy="190500"/>
                      </a:xfrm>
                      <a:prstGeom prst="rect">
                        <a:avLst/>
                      </a:prstGeom>
                      <a:solidFill>
                        <a:srgbClr val="FFFFFF"/>
                      </a:solidFill>
                      <a:ln>
                        <a:noFill/>
                      </a:ln>
                    </wps:spPr>
                    <wps:txbx>
                      <w:txbxContent>
                        <w:p>
                          <w:pPr>
                            <w:spacing w:before="0" w:after="0"/>
                            <w:jc w:val="center"/>
                          </w:pPr>
                          <w:r>
                            <w:rPr>
                              <w:color w:val="1B1F23"/>
                              <w:sz w:val="15"/>
                            </w:rPr>
                            <w:t xml:space="preserve">Valid</w:t>
                          </w:r>
                        </w:p>
                      </w:txbxContent>
                    </wps:txbx>
                    <wps:bodyPr lIns="0" tIns="0" rIns="0" bIns="0" anchor="ctr">
                      <a:noAutofit/>
                    </wps:bodyPr>
                  </wps:wsp>
                  <wps:wsp>
                    <wps:cNvPr id="100011" name="ms:edge=C--&gt;E;label=Invalid"/>
                    <wps:cNvSpPr/>
                    <wps:spPr>
                      <a:xfrm>
                        <a:off x="2092466" y="2790216"/>
                        <a:ext cx="535940" cy="190500"/>
                      </a:xfrm>
                      <a:prstGeom prst="rect">
                        <a:avLst/>
                      </a:prstGeom>
                      <a:solidFill>
                        <a:srgbClr val="FFFFFF"/>
                      </a:solidFill>
                      <a:ln>
                        <a:noFill/>
                      </a:ln>
                    </wps:spPr>
                    <wps:txbx>
                      <w:txbxContent>
                        <w:p>
                          <w:pPr>
                            <w:spacing w:before="0" w:after="0"/>
                            <w:jc w:val="center"/>
                          </w:pPr>
                          <w:r>
                            <w:rPr>
                              <w:color w:val="1B1F23"/>
                              <w:sz w:val="15"/>
                            </w:rPr>
                            <w:t xml:space="preserve">Invalid</w:t>
                          </w:r>
                        </w:p>
                      </w:txbxContent>
                    </wps:txbx>
                    <wps:bodyPr lIns="0" tIns="0" rIns="0" bIns="0" anchor="ctr">
                      <a:noAutofit/>
                    </wps:bodyPr>
                  </wps:wsp>
                </wpg:wgp>
              </a:graphicData>
            </a:graphic>
          </wp:inline>
        </w:drawing>
      </w:r>
    </w:p>
    <w:p>
      <w:pPr>
        <w:pStyle w:val="Heading3"/>
      </w:pPr>
      <w:bookmarkStart w:name="H_state_diagram" w:id="14"/>
      <w:r>
        <w:rPr>
          <mc:AlternateContent>
            <mc:Choice Requires="w14">
              <w14:ligatures w14:val="standardContextual"/>
              <w14:numForm w14:val="oldStyle"/>
              <w14:numSpacing w14:val="proportional"/>
              <w14:cntxtAlts/>
            </mc:Choice>
          </mc:AlternateContent>
        </w:rPr>
        <w:t xml:space="preserve">7.2. State Diagram</w:t>
      </w:r>
      <w:bookmarkEnd w:id="14"/>
    </w:p>
    <w:p>
      <w:pPr>
        <w:pStyle w:val="MSCode_mermaid"/>
        <w:keepLines/>
        <w:pBdr>
          <w:top w:val="single" w:color="D1D5DA" w:sz="4" w:space="4"/>
          <w:left w:val="single" w:color="D1D5DA" w:sz="4" w:space="4"/>
          <w:bottom w:val="single" w:color="D1D5DA" w:sz="4" w:space="4"/>
          <w:right w:val="single" w:color="D1D5DA" w:sz="4" w:space="4"/>
        </w:pBdr>
        <w:shd w:val="clear" w:color="auto" w:fill="F6F8FA"/>
        <w:wordWrap w:val="false"/>
        <w:spacing w:before="60" w:after="60" w:line="240" w:lineRule="auto"/>
      </w:pPr>
      <w:r>
        <w:rPr>
          <w:rFonts w:ascii="Consolas" w:hAnsi="Consolas"/>
          <w:noProof/>
          <w:color w:val="f6f8fa"/>
        </w:rPr>
        <w:t xml:space="preserve">stateDiagram-v2</w:t>
        <w:br/>
        <w:t xml:space="preserve">    [*] --&gt; Idle</w:t>
        <w:br/>
        <w:t xml:space="preserve">    Idle --&gt; Processing : File Added</w:t>
        <w:br/>
        <w:t xml:space="preserve">    Processing --&gt; Succeeded : Write OK</w:t>
        <w:br/>
        <w:t xml:space="preserve">    Processing --&gt; Failed : Disk Full / Error</w:t>
        <w:br/>
        <w:t xml:space="preserve">    Failed --&gt; Retrying : Backoff Timer</w:t>
        <w:br/>
        <w:t xml:space="preserve">    Retrying --&gt; Processing</w:t>
        <w:br/>
        <w:t xml:space="preserve">    Succeeded --&gt; Idle</w:t>
      </w:r>
    </w:p>
    <w:p>
      <w:pPr>
        <w:pBdr>
          <w:bottom w:val="wave" w:color="D1D5DA" w:sz="6" w:space="1"/>
        </w:pBdr>
      </w:pPr>
    </w:p>
    <w:p>
      <w:pPr>
        <w:pStyle w:val="Heading2"/>
      </w:pPr>
      <w:bookmarkStart w:name="H_multi_line_footnotes" w:id="15"/>
      <w:r>
        <w:rPr>
          <mc:AlternateContent>
            <mc:Choice Requires="w14">
              <w14:ligatures w14:val="standardContextual"/>
              <w14:numForm w14:val="oldStyle"/>
              <w14:numSpacing w14:val="proportional"/>
              <w14:cntxtAlts/>
            </mc:Choice>
          </mc:AlternateContent>
        </w:rPr>
        <w:t xml:space="preserve">8. Multi-Line Footnotes</w:t>
      </w:r>
      <w:bookmarkEnd w:id="15"/>
    </w:p>
    <w:p>
      <w:r>
        <w:rPr>
          <mc:AlternateContent>
            <mc:Choice Requires="w14">
              <w14:ligatures w14:val="standardContextual"/>
              <w14:numForm w14:val="oldStyle"/>
              <w14:numSpacing w14:val="proportional"/>
              <w14:cntxtAlts/>
            </mc:Choice>
          </mc:AlternateContent>
        </w:rPr>
        <w:t xml:space="preserve">Footnotes are referenced in-line like this</w:t>
      </w:r>
      <w:bookmarkStart w:name="_fnref_1" w:id="16"/>
      <w:bookmarkEnd w:id="16"/>
      <w:hyperlink w:history="true" w:anchor="_fn_1">
        <w:r>
          <w:rPr>
            <w:color w:val="0563C1"/>
            <w:vertAlign w:val="superscript"/>
            <mc:AlternateContent>
              <mc:Choice Requires="w14">
                <w14:ligatures w14:val="standardContextual"/>
                <w14:numForm w14:val="oldStyle"/>
                <w14:numSpacing w14:val="proportional"/>
                <w14:cntxtAlts/>
              </mc:Choice>
            </mc:AlternateContent>
          </w:rPr>
          <w:t xml:space="preserve">[1]</w:t>
        </w:r>
      </w:hyperlink>
      <w:r>
        <w:rPr>
          <mc:AlternateContent>
            <mc:Choice Requires="w14">
              <w14:ligatures w14:val="standardContextual"/>
              <w14:numForm w14:val="oldStyle"/>
              <w14:numSpacing w14:val="proportional"/>
              <w14:cntxtAlts/>
            </mc:Choice>
          </mc:AlternateContent>
        </w:rPr>
        <w:t xml:space="preserve"> and also here</w:t>
      </w:r>
      <w:bookmarkStart w:name="_fnref_2" w:id="17"/>
      <w:bookmarkEnd w:id="17"/>
      <w:hyperlink w:history="true" w:anchor="_fn_2">
        <w:r>
          <w:rPr>
            <w:color w:val="0563C1"/>
            <w:vertAlign w:val="superscript"/>
            <mc:AlternateContent>
              <mc:Choice Requires="w14">
                <w14:ligatures w14:val="standardContextual"/>
                <w14:numForm w14:val="oldStyle"/>
                <w14:numSpacing w14:val="proportional"/>
                <w14:cntxtAlts/>
              </mc:Choice>
            </mc:AlternateContent>
          </w:rPr>
          <w:t xml:space="preserve">[2]</w:t>
        </w:r>
      </w:hyperlink>
      <w:r>
        <w:rPr>
          <mc:AlternateContent>
            <mc:Choice Requires="w14">
              <w14:ligatures w14:val="standardContextual"/>
              <w14:numForm w14:val="oldStyle"/>
              <w14:numSpacing w14:val="proportional"/>
              <w14:cntxtAlts/>
            </mc:Choice>
          </mc:AlternateContent>
        </w:rPr>
        <w:t xml:space="preserve">.</w:t>
      </w:r>
    </w:p>
    <w:p>
      <w:bookmarkStart w:name="_fn_1" w:id="19"/>
      <w:hyperlink w:history="true" w:anchor="_fnref_1">
        <w:r>
          <w:rPr>
            <w:b/>
            <w:color w:val="0563C1"/>
            <mc:AlternateContent>
              <mc:Choice Requires="w14">
                <w14:ligatures w14:val="standardContextual"/>
                <w14:numForm w14:val="oldStyle"/>
                <w14:numSpacing w14:val="proportional"/>
                <w14:cntxtAlts/>
              </mc:Choice>
            </mc:AlternateContent>
          </w:rPr>
          <w:t xml:space="preserve">[1] </w:t>
        </w:r>
      </w:hyperlink>
      <w:bookmarkEnd w:id="19"/>
      <w:r>
        <w:rPr>
          <mc:AlternateContent>
            <mc:Choice Requires="w14">
              <w14:ligatures w14:val="standardContextual"/>
              <w14:numForm w14:val="oldStyle"/>
              <w14:numSpacing w14:val="proportional"/>
              <w14:cntxtAlts/>
            </mc:Choice>
          </mc:AlternateContent>
        </w:rPr>
        <w:t xml:space="preserve">This is a standard single-line footnote.</w:t>
      </w:r>
      <w:bookmarkStart w:name="_fnref_1" w:id="18"/>
      <w:bookmarkEnd w:id="18"/>
      <w:hyperlink w:history="true" w:anchor="_fn_1">
        <w:r>
          <w:rPr>
            <w:color w:val="0563C1"/>
            <w:vertAlign w:val="superscript"/>
            <mc:AlternateContent>
              <mc:Choice Requires="w14">
                <w14:ligatures w14:val="standardContextual"/>
                <w14:numForm w14:val="oldStyle"/>
                <w14:numSpacing w14:val="proportional"/>
                <w14:cntxtAlts/>
              </mc:Choice>
            </mc:AlternateContent>
          </w:rPr>
          <w:t xml:space="preserve">[1]</w:t>
        </w:r>
      </w:hyperlink>
      <w:hyperlink w:history="true" w:anchor="_fnref_1">
        <w:r>
          <w:rPr>
            <w:color w:val="0563C1"/>
            <mc:AlternateContent>
              <mc:Choice Requires="w14">
                <w14:ligatures w14:val="standardContextual"/>
                <w14:numForm w14:val="oldStyle"/>
                <w14:numSpacing w14:val="proportional"/>
                <w14:cntxtAlts/>
              </mc:Choice>
            </mc:AlternateContent>
          </w:rPr>
          <w:t xml:space="preserve"> ↩</w:t>
        </w:r>
      </w:hyperlink>
    </w:p>
    <w:p>
      <w:bookmarkStart w:name="_fn_2" w:id="21"/>
      <w:hyperlink w:history="true" w:anchor="_fnref_2">
        <w:r>
          <w:rPr>
            <w:b/>
            <w:color w:val="0563C1"/>
            <mc:AlternateContent>
              <mc:Choice Requires="w14">
                <w14:ligatures w14:val="standardContextual"/>
                <w14:numForm w14:val="oldStyle"/>
                <w14:numSpacing w14:val="proportional"/>
                <w14:cntxtAlts/>
              </mc:Choice>
            </mc:AlternateContent>
          </w:rPr>
          <w:t xml:space="preserve">[2] </w:t>
        </w:r>
      </w:hyperlink>
      <w:bookmarkEnd w:id="21"/>
      <w:r>
        <w:rPr>
          <mc:AlternateContent>
            <mc:Choice Requires="w14">
              <w14:ligatures w14:val="standardContextual"/>
              <w14:numForm w14:val="oldStyle"/>
              <w14:numSpacing w14:val="proportional"/>
              <w14:cntxtAlts/>
            </mc:Choice>
          </mc:AlternateContent>
        </w:rPr>
        <w:t xml:space="preserve">This is a </w:t>
      </w:r>
      <w:r>
        <w:rPr>
          <w:b/>
          <mc:AlternateContent>
            <mc:Choice Requires="w14">
              <w14:ligatures w14:val="standardContextual"/>
              <w14:numForm w14:val="oldStyle"/>
              <w14:numSpacing w14:val="proportional"/>
              <w14:cntxtAlts/>
            </mc:Choice>
          </mc:AlternateContent>
        </w:rPr>
        <w:t xml:space="preserve">multi-line</w:t>
      </w:r>
      <w:r>
        <w:rPr>
          <mc:AlternateContent>
            <mc:Choice Requires="w14">
              <w14:ligatures w14:val="standardContextual"/>
              <w14:numForm w14:val="oldStyle"/>
              <w14:numSpacing w14:val="proportional"/>
              <w14:cntxtAlts/>
            </mc:Choice>
          </mc:AlternateContent>
        </w:rPr>
        <w:t xml:space="preserve"> footnote.</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It includes bullet points inside the footnote.</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It can also contain code: </w:t>
      </w:r>
      <w:r>
        <w:rPr>
          <w:rFonts w:ascii="Consolas" w:hAnsi="Consolas"/>
          <w:noProof/>
          <w:sz w:val="20"/>
          <w:bdr w:val="single" w:color="auto" w:sz="4" w:space="1"/>
          <w:shd w:val="clear" w:color="auto" w:fill="auto"/>
        </w:rPr>
        <w:t xml:space="preserve">var x = 42;</w:t>
      </w:r>
      <w:r>
        <w:rPr>
          <mc:AlternateContent>
            <mc:Choice Requires="w14">
              <w14:ligatures w14:val="standardContextual"/>
              <w14:numForm w14:val="oldStyle"/>
              <w14:numSpacing w14:val="proportional"/>
              <w14:cntxtAlts/>
            </mc:Choice>
          </mc:AlternateContent>
        </w:rPr>
        <w:t xml:space="preserve">.</w:t>
      </w:r>
    </w:p>
    <w:p>
      <w:pPr>
        <w:numPr>
          <w:ilvl w:val="0"/>
          <w:numId w:val="1"/>
        </w:numPr>
        <w:contextualSpacing/>
      </w:pPr>
      <w:r>
        <w:rPr>
          <mc:AlternateContent>
            <mc:Choice Requires="w14">
              <w14:ligatures w14:val="standardContextual"/>
              <w14:numForm w14:val="oldStyle"/>
              <w14:numSpacing w14:val="proportional"/>
              <w14:cntxtAlts/>
            </mc:Choice>
          </mc:AlternateContent>
        </w:rPr>
        <w:t xml:space="preserve">Word must link this footnote back to its exact reference site.</w:t>
      </w:r>
    </w:p>
    <w:p>
      <w:bookmarkStart w:name="_fnref_2" w:id="20"/>
      <w:bookmarkEnd w:id="20"/>
      <w:hyperlink w:history="true" w:anchor="_fn_2">
        <w:r>
          <w:rPr>
            <w:color w:val="0563C1"/>
            <w:vertAlign w:val="superscript"/>
            <mc:AlternateContent>
              <mc:Choice Requires="w14">
                <w14:ligatures w14:val="standardContextual"/>
                <w14:numForm w14:val="oldStyle"/>
                <w14:numSpacing w14:val="proportional"/>
                <w14:cntxtAlts/>
              </mc:Choice>
            </mc:AlternateContent>
          </w:rPr>
          <w:t xml:space="preserve">[2]</w:t>
        </w:r>
      </w:hyperlink>
      <w:hyperlink w:history="true" w:anchor="_fnref_2">
        <w:r>
          <w:rPr>
            <w:color w:val="0563C1"/>
            <mc:AlternateContent>
              <mc:Choice Requires="w14">
                <w14:ligatures w14:val="standardContextual"/>
                <w14:numForm w14:val="oldStyle"/>
                <w14:numSpacing w14:val="proportional"/>
                <w14:cntxtAlts/>
              </mc:Choice>
            </mc:AlternateContent>
          </w:rPr>
          <w:t xml:space="preserve"> ↩</w:t>
        </w:r>
      </w:hyperlink>
    </w:p>
    <w:sectPr>
      <w:headerReference w:type="default" r:id="Rc6357a7725e74ecd"/>
      <w:footerReference w:type="default" r:id="R4143762ba6724f4e"/>
      <w:pgSz w:w="11906" w:h="16838"/>
      <w:pgMar w:top="1440" w:right="1440" w:bottom="1440" w:left="1440" w:header="576" w:footer="576" w:gutter="0"/>
    </w:sectPr>
  </w:body>
</w:document>
</file>

<file path=word/footer1.xml><?xml version="1.0" encoding="utf-8"?>
<w:ftr xmlns:w="http://schemas.openxmlformats.org/wordprocessingml/2006/main">
  <w:p>
    <w:pPr>
      <w:spacing w:after="0"/>
      <w:jc w:val="center"/>
    </w:pPr>
    <w:r>
      <w:rPr>
        <w:color w:val="808080"/>
        <w:sz w:val="16"/>
      </w:rPr>
      <w:t xml:space="preserve">Page </w:t>
    </w:r>
    <w:fldSimple w:instr=" PAGE ">
      <w:r>
        <w:rPr>
          <w:color w:val="808080"/>
          <w:sz w:val="16"/>
        </w:rPr>
        <w:t>1</w:t>
      </w:r>
    </w:fldSimple>
    <w:r>
      <w:rPr>
        <w:color w:val="808080"/>
        <w:sz w:val="16"/>
      </w:rPr>
      <w:t xml:space="preserve"> of </w:t>
    </w:r>
    <w:fldSimple w:instr=" NUMPAGES ">
      <w:r>
        <w:rPr>
          <w:color w:val="808080"/>
          <w:sz w:val="16"/>
        </w:rPr>
        <w:t>1</w:t>
      </w:r>
    </w:fldSimple>
    <w:r>
      <w:rPr>
        <w:color w:val="808080"/>
        <w:sz w:val="16"/>
      </w:rPr>
      <w:t xml:space="preserve">  ·  MarkSmith</w:t>
    </w:r>
  </w:p>
</w:ftr>
</file>

<file path=word/header1.xml><?xml version="1.0" encoding="utf-8"?>
<w:hdr xmlns:w="http://schemas.openxmlformats.org/wordprocessingml/2006/main">
  <w:p>
    <w:pPr>
      <w:pBdr>
        <w:bottom w:val="single" w:color="D1D5DA" w:sz="6" w:space="3"/>
      </w:pBdr>
      <w:spacing w:after="0"/>
      <w:jc w:val="right"/>
    </w:pPr>
    <w:r>
      <w:rPr>
        <w:smallCaps/>
        <w:color w:val="000000"/>
        <w:spacing w:val="30"/>
        <w:sz w:val="18"/>
      </w:rPr>
      <w:t xml:space="preserve">The MarkSmith OpenXML Gauntlet</w:t>
    </w:r>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1"/>
    <w:lvlOverride w:ilvl="0">
      <w:startOverride w:val="1"/>
    </w:lvlOverride>
  </w:num>
  <w:num w:numId="3">
    <w:abstractNumId w:val="1"/>
    <w:lvlOverride w:ilvl="2">
      <w:startOverride w:val="1"/>
    </w:lvlOverride>
  </w:num>
</w:numbering>
</file>

<file path=word/settings.xml><?xml version="1.0" encoding="utf-8"?>
<w:settings xmlns:w="http://schemas.openxmlformats.org/wordprocessingml/2006/main">
  <w:view w:val="web"/>
  <w:zoom w:percent="110"/>
  <w:displayBackgroundShape/>
  <w:autoHyphenation/>
</w:settings>
</file>

<file path=word/styles.xml><?xml version="1.0" encoding="utf-8"?>
<w:styles xmlns:w="http://schemas.openxmlformats.org/wordprocessingml/2006/main">
  <w:docDefaults>
    <w:rPrDefault>
      <w:rPr>
        <w:rFonts w:ascii="Segoe UI Variable" w:hAnsi="Segoe UI Variable" w:eastAsia="Segoe UI Variable" w:cs="Segoe UI Variable"/>
        <w:color w:val="1b1f23"/>
        <w:kern w:val="16"/>
        <w:sz w:val="22"/>
        <w:szCs w:val="22"/>
      </w:rPr>
    </w:rPrDefault>
    <w:pPrDefault>
      <w:pPr>
        <w:spacing w:after="160" w:line="259" w:lineRule="auto"/>
      </w:pPr>
    </w:pPrDefault>
  </w:docDefaults>
  <w:style w:type="paragraph" w:styleId="Normal" w:default="true">
    <w:name w:val="Normal"/>
  </w:style>
  <w:style w:type="paragraph" w:styleId="Heading1">
    <w:name w:val="heading 1"/>
    <w:basedOn w:val="Normal"/>
    <w:next w:val="Normal"/>
    <w:qFormat/>
    <w:pPr>
      <w:keepNext/>
      <w:pBdr>
        <w:bottom w:val="single" w:color="D1D5DA" w:sz="12" w:space="4"/>
      </w:pBdr>
      <w:spacing w:before="280" w:after="140"/>
      <w:outlineLvl w:val="0"/>
    </w:pPr>
    <w:rPr>
      <w:b/>
      <w:smallCaps/>
      <w:color w:val="000000"/>
      <w:spacing w:val="20"/>
      <w:sz w:val="40"/>
      <w:szCs w:val="40"/>
    </w:rPr>
  </w:style>
  <w:style w:type="paragraph" w:styleId="Heading2">
    <w:name w:val="heading 2"/>
    <w:basedOn w:val="Normal"/>
    <w:next w:val="Normal"/>
    <w:qFormat/>
    <w:pPr>
      <w:keepNext/>
      <w:pBdr>
        <w:bottom w:val="single" w:color="D1D5DA" w:sz="12" w:space="4"/>
      </w:pBdr>
      <w:spacing w:before="280" w:after="140"/>
      <w:outlineLvl w:val="1"/>
    </w:pPr>
    <w:rPr>
      <w:b/>
      <w:color w:val="090B0C"/>
      <w:sz w:val="32"/>
      <w:szCs w:val="32"/>
    </w:rPr>
  </w:style>
  <w:style w:type="paragraph" w:styleId="Heading3">
    <w:name w:val="heading 3"/>
    <w:basedOn w:val="Normal"/>
    <w:next w:val="Normal"/>
    <w:qFormat/>
    <w:pPr>
      <w:keepNext/>
      <w:spacing w:before="280" w:after="140"/>
      <w:outlineLvl w:val="2"/>
    </w:pPr>
    <w:rPr>
      <w:b/>
      <w:color w:val="121417"/>
      <w:sz w:val="28"/>
      <w:szCs w:val="28"/>
    </w:rPr>
  </w:style>
  <w:style w:type="paragraph" w:styleId="Heading4">
    <w:name w:val="heading 4"/>
    <w:basedOn w:val="Normal"/>
    <w:next w:val="Normal"/>
    <w:qFormat/>
    <w:pPr>
      <w:keepNext/>
      <w:spacing w:before="280" w:after="140"/>
      <w:outlineLvl w:val="3"/>
    </w:pPr>
    <w:rPr>
      <w:b/>
      <w:color w:val="1b1f23"/>
      <w:sz w:val="24"/>
      <w:szCs w:val="24"/>
    </w:rPr>
  </w:style>
  <w:style w:type="paragraph" w:styleId="Heading5">
    <w:name w:val="heading 5"/>
    <w:basedOn w:val="Normal"/>
    <w:next w:val="Normal"/>
    <w:qFormat/>
    <w:pPr>
      <w:keepNext/>
      <w:spacing w:before="280" w:after="140"/>
      <w:outlineLvl w:val="4"/>
    </w:pPr>
    <w:rPr>
      <w:b/>
      <w:color w:val="1b1f23"/>
      <w:sz w:val="22"/>
      <w:szCs w:val="22"/>
    </w:rPr>
  </w:style>
  <w:style w:type="paragraph" w:styleId="Heading6">
    <w:name w:val="heading 6"/>
    <w:basedOn w:val="Normal"/>
    <w:next w:val="Normal"/>
    <w:qFormat/>
    <w:pPr>
      <w:keepNext/>
      <w:spacing w:before="280" w:after="140"/>
      <w:outlineLvl w:val="5"/>
    </w:pPr>
    <w:rPr>
      <w:b/>
      <w:color w:val="6A737D"/>
      <w:sz w:val="22"/>
      <w:szCs w:val="22"/>
    </w:rPr>
  </w:style>
  <w:style w:type="character" w:styleId="Hyperlink">
    <w:name w:val="Hyperlink"/>
    <w:rPr>
      <w:color w:val="0563C1"/>
      <w:u w:val="single"/>
    </w:rPr>
  </w:style>
  <w:style w:type="paragraph" w:styleId="TOC1">
    <w:name w:val="toc 1"/>
    <w:basedOn w:val="Normal"/>
    <w:rPr>
      <w:color w:val="1b1f23"/>
    </w:rPr>
  </w:style>
  <w:style w:type="paragraph" w:styleId="TOC2">
    <w:name w:val="toc 2"/>
    <w:basedOn w:val="Normal"/>
    <w:rPr>
      <w:color w:val="1b1f23"/>
    </w:rPr>
  </w:style>
  <w:style w:type="paragraph" w:styleId="TOC3">
    <w:name w:val="toc 3"/>
    <w:basedOn w:val="Normal"/>
    <w:rPr>
      <w:color w:val="1b1f23"/>
    </w:rPr>
  </w:style>
</w:styles>
</file>

<file path=word/_rels/document.xml.rels>&#65279;<?xml version="1.0" encoding="utf-8"?><Relationships xmlns="http://schemas.openxmlformats.org/package/2006/relationships"><Relationship Type="http://schemas.openxmlformats.org/officeDocument/2006/relationships/numbering" Target="/word/numbering.xml" Id="R170048cc38c04847" /><Relationship Type="http://schemas.openxmlformats.org/officeDocument/2006/relationships/styles" Target="/word/styles.xml" Id="R17c68467835147f7" /><Relationship Type="http://schemas.openxmlformats.org/officeDocument/2006/relationships/header" Target="/word/header1.xml" Id="Rc6357a7725e74ecd" /><Relationship Type="http://schemas.openxmlformats.org/officeDocument/2006/relationships/footer" Target="/word/footer1.xml" Id="R4143762ba6724f4e" /><Relationship Type="http://schemas.openxmlformats.org/officeDocument/2006/relationships/settings" Target="/word/settings.xml" Id="Ra5978ddc76654bc2" /><Relationship Type="http://schemas.openxmlformats.org/officeDocument/2006/relationships/customXml" Target="/customXml/item.xml" Id="R0372b6aa34604e08" /></Relationships>
</file>

<file path=customXml/item.xml><?xml version="1.0" encoding="utf-8"?>
<marksmithSource schema="marksmith-source-v1" version="3.1.0.0" exportedUtc="2026-09-03T02:16:04.0280280Z" theme="GitHub Light" mermaidMode="1">
  <markdown><![CDATA[---
title: The MarkSmith OpenXML Gauntlet
---
# The MarkSmith OpenXML Gauntlet
This document is a stress-test for Markdown-to-OpenXML (DOCX) and PDF rendering pipelines. It compiles the most complex, nested, and historically "impossible" formatting tasks to verify visual parity, layout stability, and structural compliance.
---
## 1. Advanced Mathematical Equations (LaTeX to OMML)
Microsoft Word historically struggled with importing LaTeX math directly. Marksmith parses LaTeX math blocks and translates them into native Office Math Markup Language (OMML) objects.
### 1.1. Multiline Block Math with Matrices and Alignment
A complex Schrödinger equation with a Hamiltonian matrix operator:
$$
i\hbar\frac{\partial}{\partial t}\Psi(\mathbf{r},t) = \hat{H}\Psi(\mathbf{r},t)
$$
Where the Hamiltonian matrix $\hat{H}$ is defined in a discrete 3D basis:
$$
\hat{H} = \begin{pmatrix}
E_0 + V_1 & -t_{12} & 0 \\
-t_{12} & E_0 + V_2 & -t_{23} \\
0 & -t_{23} & E_0 + V_3
\end{pmatrix} + \sum_{n=1}^{N} \frac{\hbar^2 k_n^2}{2m} \mathbf{I}
$$
### 1.2. Integrals, Limits, and Chemistry Extensions
A thermodynamic partition function combined with chemical stoichiometry equations:
$$
Z(\beta) = \lim_{N \to \infty} \int_{-\infty}^{\infty} \cdots \int_{-\infty}^{\infty} \exp\left( -\beta \sum_{i<j} V(r_{ij}) \right) d\mathbf{r}_1 \cdots d\mathbf{r}_N
$$
Chemical equilibrium equation using the `mhchem` extension:
$$
\ce{N2 + 3H2 <=> 2NH3} \quad (\Delta H^\circ = -92.4\text{ kJ/mol})
$$
$$
\ce{2H2O ->[electrolysis] 2H2 + O2}
$$
---
## 2. Code Fences with Captions and Highlighting
Word has no built-in code block or syntax highlighter. Marksmith translates code blocks into structured runs, maintaining precise syntax coloring and code captions.
```rust:main.rs
// Rust server entrypoint showing error handling and concurrency
use std::sync::Arc;
use tokio::net::TcpListener;
#[tokio::main]
async fn main() -> Result<(), Box<dyn std::error::Error>> {
    let listener = TcpListener::bind("127.0.0.1:8080").await?;
    let state = Arc::new(Database::connect().await?);
    println!("Server listening on http://127.0.0.1:8080");
    loop {
        let (socket, _) = listener.accept().await?;
        let db = Arc::clone(&state);
        tokio::spawn(async move {
            if let Err(e) = handle_connection(socket, db).await {
                eprintln!("Error handling connection: {}", e);
            }
        });
    }
}
```
---
## 3. High-Complexity Nested Tables (The "Layout Exploder")
Tables in Word often collapse or distort when cells contain complex layouts. Pipe-table cells are inline-only in GFM, so Marksmith recovers block content written into a cell — a `<br>`-joined list, a GitHub alert — and renders it as a real block in both the preview and the native Word table.
| Feature / Element | Raw Syntax Test | Rendered Result |
| :--- | :--- | :--- |
| **Mathematics** | `$E = mc^2$` | Inline math renders in the cell: $\sum_{i=1}^{k} x_i$ |
| **Monospace / Code** | `` `let x = 1;` `` | Inline code keeps its face inside the grid: `let x = 1;` |
| **Nested Lists** | `- Subitem 1<br>- Subitem 2` | - Subitem 1<br>- Subitem 2 |
| **Alert Blocks** | `> [!WARNING] Mind the gap!` | > [!WARNING] Mind the gap! |
| **Alert, multi-line** | `> [!TIP]<br>> Cells carry blocks.` | > [!TIP]<br>> Cells carry blocks, not just inline text. |
---
## 4. Multi-Tab Options Layout
A native markdown dialect extension allowing tab switches. For static targets like PDF and DOCX, Marksmith converts this structure into segmented, labeled section containers.
=== "Option A: REST API"
    To query the service endpoint, send a POST request with the authentication header:
    ```bash
    curl -X POST https://api.marksmith.local/v1/export \
      -H "Authorization: Bearer ms_live_key" \
      -H "Content-Type: application/json" \
      -d '{"format": "pdf"}'
    ```
=== "Option B: CLI Ingest"
    Alternatively, trigger the locally running instance using the command line:
    ```powershell
    marksmith.exe --input document.md --format docx --output dist/
    ```
=== "Option C: Folder Watcher"
    Drop any markdown file into the folder specified in settings:
    `C:\Users\Tony\Documents\Marksmith\Watch`
---
## 5. Dialect Elements: WikiLinks, Tags, and Collapsible Callouts
### 5.1. Custom Dialect Links & Badges
* Check the latest design guidelines in the [[Project Architecture]] draft.
* Redirect to custom landing page: [[product-spec|Detailed Product Specification]].
* High-priority release item tagged with `#milestone-1.0` and `#security-audit`.
### 5.2. Foldable Obsidian-Style Callouts
> [!CAUTION]- Critical Security Reminder
> This block should collapse by default in interactive preview, but display fully expanded in DOCX/PDF output.
> - Never store database credentials in the project root.
> - Bind the server strictly to loopback IP `#127.0.0.1`.
---
## 6. Deeply Nested List Indentation
List items with mixed numbering, bullets, blockquotes, and code blocks:
1. Level 1: Primary Configuration
    * Level 2: Databases
        1. Level 3: Postgresql Master
            > Every ledger write must be committed to disk before transaction acknowledgment.
            ```sql
            INSERT INTO ledger (state, recorded_at) VALUES ('AUTHORIZED', NOW());
            ```
        2. Level 3: Redis Read Replica (cache-aside)
    * Level 2: Queue
2. Level 1: Deployment Target
---
## 7. Complex Mermaid Diagrams
### 7.1. Flowchart with Subgraphs
```mermaid
flowchart TB
    subgraph Core Services
        A[Ingestion Service] --> B(Validation Engine)
        B --> C{Decision Route}
    end
    subgraph Storage Tier
        C -->|Valid| D[(Main Database)]
        C -->|Invalid| E[(Quarantine Archive)]
    end
```
### 7.2. State Diagram
```mermaid
stateDiagram-v2
    [*] --> Idle
    Idle --> Processing : File Added
    Processing --> Succeeded : Write OK
    Processing --> Failed : Disk Full / Error
    Failed --> Retrying : Backoff Timer
    Retrying --> Processing
    Succeeded --> Idle
```
---
## 8. Multi-Line Footnotes
Footnotes are referenced in-line like this[^1] and also here[^2].
[^1]: This is a standard single-line footnote.
[^2]: This is a **multi-line** footnote.
    * It includes bullet points inside the footnote.
    * It can also contain code: `var x = 42;`.
    * Word must link this footnote back to its exact reference site.
]]></markdown>
</marksmithSource>
</file>

<file path=docProps/app.xml><?xml version="1.0" encoding="utf-8"?>
<ap:Properties xmlns:ap="http://schemas.openxmlformats.org/officeDocument/2006/extended-properties">
  <ap:Company>Marksmith by Matthew Bubb</ap:Company>
</ap:Properties>
</file>