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232a0b27794d8f" /><Relationship Type="http://schemas.openxmlformats.org/package/2006/relationships/metadata/core-properties" Target="/package/services/metadata/core-properties/0fa64dbcc7a14ca2a15efdd5226b960d.psmdcp" Id="R00c74a390d794d5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93d3a1651c324a84"/>
      <w:footerReference xmlns:r="http://schemas.openxmlformats.org/officeDocument/2006/relationships" w:type="default" r:id="Rbcafae467ec44f1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73963fb2b004563" /><Relationship Type="http://schemas.openxmlformats.org/officeDocument/2006/relationships/styles" Target="/word/styles.xml" Id="Raefe36787f2f425e" /><Relationship Type="http://schemas.openxmlformats.org/officeDocument/2006/relationships/settings" Target="/word/settings.xml" Id="R2629eef7c5cb41ba" /><Relationship Type="http://schemas.openxmlformats.org/officeDocument/2006/relationships/header" Target="/word/header1.xml" Id="R93d3a1651c324a84" /><Relationship Type="http://schemas.openxmlformats.org/officeDocument/2006/relationships/footer" Target="/word/footer1.xml" Id="Rbcafae467ec44f1c" /></Relationships>
</file>