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7f5c8435b24f55" /><Relationship Type="http://schemas.openxmlformats.org/package/2006/relationships/metadata/core-properties" Target="/package/services/metadata/core-properties/f2f2bdc58212463daacbf2d22439469f.psmdcp" Id="Rd40c93da4cee448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c387ee1ca33042d8"/>
      <w:footerReference xmlns:r="http://schemas.openxmlformats.org/officeDocument/2006/relationships" w:type="default" r:id="R286a6a37d74748b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9d5bf66d0164aef" /><Relationship Type="http://schemas.openxmlformats.org/officeDocument/2006/relationships/styles" Target="/word/styles.xml" Id="R375d33c5b8fb4754" /><Relationship Type="http://schemas.openxmlformats.org/officeDocument/2006/relationships/settings" Target="/word/settings.xml" Id="R08d5f6bc990f418e" /><Relationship Type="http://schemas.openxmlformats.org/officeDocument/2006/relationships/header" Target="/word/header1.xml" Id="Rc387ee1ca33042d8" /><Relationship Type="http://schemas.openxmlformats.org/officeDocument/2006/relationships/footer" Target="/word/footer1.xml" Id="R286a6a37d74748b6" /></Relationships>
</file>