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d99ba3be99d4c91" /><Relationship Type="http://schemas.openxmlformats.org/package/2006/relationships/metadata/core-properties" Target="/package/services/metadata/core-properties/bc6b1c55420e4498bfb2750b64d7c7da.psmdcp" Id="R0380dd0e9f104d80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6f8c757d5256423a"/>
      <w:footerReference xmlns:r="http://schemas.openxmlformats.org/officeDocument/2006/relationships" w:type="default" r:id="R26fb7f9a158747a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dd4c86475e2442a" /><Relationship Type="http://schemas.openxmlformats.org/officeDocument/2006/relationships/styles" Target="/word/styles.xml" Id="Re50e4728988b4db6" /><Relationship Type="http://schemas.openxmlformats.org/officeDocument/2006/relationships/settings" Target="/word/settings.xml" Id="R345996c8f45c453c" /><Relationship Type="http://schemas.openxmlformats.org/officeDocument/2006/relationships/header" Target="/word/header1.xml" Id="R6f8c757d5256423a" /><Relationship Type="http://schemas.openxmlformats.org/officeDocument/2006/relationships/footer" Target="/word/footer1.xml" Id="R26fb7f9a158747ab" /></Relationships>
</file>