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fc4a31b97f451e" /><Relationship Type="http://schemas.openxmlformats.org/package/2006/relationships/metadata/core-properties" Target="/package/services/metadata/core-properties/b5934475692241ef858f9d0901d14986.psmdcp" Id="R59af1f3ab8a048c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c578ee417d6f4b30"/>
      <w:footerReference xmlns:r="http://schemas.openxmlformats.org/officeDocument/2006/relationships" w:type="default" r:id="Rcbb52b2065ac426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e0a4cc3bc4b4701" /><Relationship Type="http://schemas.openxmlformats.org/officeDocument/2006/relationships/styles" Target="/word/styles.xml" Id="Rce31187b86d74495" /><Relationship Type="http://schemas.openxmlformats.org/officeDocument/2006/relationships/settings" Target="/word/settings.xml" Id="Rf907b08acb494903" /><Relationship Type="http://schemas.openxmlformats.org/officeDocument/2006/relationships/header" Target="/word/header1.xml" Id="Rc578ee417d6f4b30" /><Relationship Type="http://schemas.openxmlformats.org/officeDocument/2006/relationships/footer" Target="/word/footer1.xml" Id="Rcbb52b2065ac4266" /></Relationships>
</file>