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50050b43b14225" /><Relationship Type="http://schemas.openxmlformats.org/package/2006/relationships/metadata/core-properties" Target="/package/services/metadata/core-properties/68d7b17f38ca4396a3f1dfe624487ecc.psmdcp" Id="Rac601ee9b939440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e6760e0ee74f457c"/>
      <w:footerReference xmlns:r="http://schemas.openxmlformats.org/officeDocument/2006/relationships" w:type="default" r:id="Rd3f62ef465c645fb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656e5def13248f6" /><Relationship Type="http://schemas.openxmlformats.org/officeDocument/2006/relationships/styles" Target="/word/styles.xml" Id="R35b0be9291c14f0f" /><Relationship Type="http://schemas.openxmlformats.org/officeDocument/2006/relationships/settings" Target="/word/settings.xml" Id="Ra29a6325670f4151" /><Relationship Type="http://schemas.openxmlformats.org/officeDocument/2006/relationships/header" Target="/word/header1.xml" Id="Re6760e0ee74f457c" /><Relationship Type="http://schemas.openxmlformats.org/officeDocument/2006/relationships/footer" Target="/word/footer1.xml" Id="Rd3f62ef465c645fb" /></Relationships>
</file>