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bf74c323b549d5" /><Relationship Type="http://schemas.openxmlformats.org/package/2006/relationships/metadata/core-properties" Target="/package/services/metadata/core-properties/d6f28644799447b9aa0a2c428ca68824.psmdcp" Id="R2833f410c9dc48d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1c997430c3c4d16"/>
      <w:footerReference xmlns:r="http://schemas.openxmlformats.org/officeDocument/2006/relationships" w:type="default" r:id="R43d5648514a9478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7f1deff547f415a" /><Relationship Type="http://schemas.openxmlformats.org/officeDocument/2006/relationships/styles" Target="/word/styles.xml" Id="R042714cfec2745f6" /><Relationship Type="http://schemas.openxmlformats.org/officeDocument/2006/relationships/settings" Target="/word/settings.xml" Id="R598284f1f69e4133" /><Relationship Type="http://schemas.openxmlformats.org/officeDocument/2006/relationships/header" Target="/word/header1.xml" Id="R51c997430c3c4d16" /><Relationship Type="http://schemas.openxmlformats.org/officeDocument/2006/relationships/footer" Target="/word/footer1.xml" Id="R43d5648514a94783" /></Relationships>
</file>